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charts/style2.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style7.xml" ContentType="application/vnd.ms-office.chartstyle+xml"/>
  <Override PartName="/word/theme/theme1.xml" ContentType="application/vnd.openxmlformats-officedocument.theme+xml"/>
  <Override PartName="/word/charts/chart7.xml" ContentType="application/vnd.openxmlformats-officedocument.drawingml.chart+xml"/>
  <Override PartName="/word/charts/colors6.xml" ContentType="application/vnd.ms-office.chartcolorstyle+xml"/>
  <Override PartName="/word/charts/colors7.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8E971" w14:textId="77777777" w:rsidR="002A2422" w:rsidRDefault="002A2422">
      <w:pPr>
        <w:rPr>
          <w:rFonts w:asciiTheme="minorHAnsi" w:eastAsia="Calibri" w:hAnsiTheme="minorHAnsi" w:cstheme="minorHAnsi"/>
          <w:b/>
          <w:color w:val="000000"/>
          <w:sz w:val="24"/>
          <w:szCs w:val="24"/>
          <w:lang w:val="en-US"/>
        </w:rPr>
      </w:pPr>
      <w:bookmarkStart w:id="0" w:name="_gjdgxs" w:colFirst="0" w:colLast="0"/>
      <w:bookmarkEnd w:id="0"/>
    </w:p>
    <w:p w14:paraId="2DB08711" w14:textId="77777777" w:rsidR="002A2422" w:rsidRDefault="002A2422">
      <w:pPr>
        <w:rPr>
          <w:rFonts w:asciiTheme="minorHAnsi" w:eastAsia="Calibri" w:hAnsiTheme="minorHAnsi" w:cstheme="minorHAnsi"/>
          <w:b/>
          <w:color w:val="000000"/>
          <w:sz w:val="24"/>
          <w:szCs w:val="24"/>
        </w:rPr>
      </w:pPr>
    </w:p>
    <w:p w14:paraId="683A6A0B" w14:textId="77777777" w:rsidR="002A2422" w:rsidRDefault="002A2422">
      <w:pPr>
        <w:rPr>
          <w:rFonts w:asciiTheme="minorHAnsi" w:eastAsia="Calibri" w:hAnsiTheme="minorHAnsi" w:cstheme="minorHAnsi"/>
          <w:b/>
          <w:color w:val="000000"/>
          <w:sz w:val="24"/>
          <w:szCs w:val="24"/>
        </w:rPr>
      </w:pPr>
    </w:p>
    <w:p w14:paraId="24032428" w14:textId="77777777" w:rsidR="002A2422" w:rsidRDefault="003B3AD7">
      <w:pPr>
        <w:jc w:val="left"/>
      </w:pPr>
      <w:r>
        <w:rPr>
          <w:rFonts w:ascii="Calibri" w:eastAsia="SimSun" w:hAnsi="Calibri" w:cs="Calibri"/>
          <w:color w:val="000000"/>
          <w:sz w:val="24"/>
          <w:szCs w:val="24"/>
          <w:lang w:eastAsia="zh-CN" w:bidi="ar"/>
        </w:rPr>
        <w:t xml:space="preserve"> </w:t>
      </w:r>
    </w:p>
    <w:p w14:paraId="278EC52F" w14:textId="77777777" w:rsidR="002A2422" w:rsidRDefault="002A2422">
      <w:pPr>
        <w:tabs>
          <w:tab w:val="left" w:pos="1260"/>
          <w:tab w:val="center" w:pos="4320"/>
          <w:tab w:val="right" w:pos="8640"/>
        </w:tabs>
        <w:rPr>
          <w:rFonts w:asciiTheme="minorHAnsi" w:eastAsia="Calibri" w:hAnsiTheme="minorHAnsi" w:cstheme="minorHAnsi"/>
          <w:color w:val="000000"/>
          <w:sz w:val="24"/>
          <w:szCs w:val="24"/>
        </w:rPr>
      </w:pPr>
    </w:p>
    <w:p w14:paraId="2B2F6DD3" w14:textId="77777777" w:rsidR="002A2422" w:rsidRDefault="002A2422">
      <w:pPr>
        <w:tabs>
          <w:tab w:val="left" w:pos="1260"/>
          <w:tab w:val="center" w:pos="4320"/>
          <w:tab w:val="right" w:pos="8640"/>
        </w:tabs>
        <w:rPr>
          <w:rFonts w:asciiTheme="minorHAnsi" w:eastAsia="Calibri" w:hAnsiTheme="minorHAnsi" w:cstheme="minorHAnsi"/>
          <w:color w:val="000000"/>
          <w:sz w:val="24"/>
          <w:szCs w:val="24"/>
        </w:rPr>
      </w:pPr>
    </w:p>
    <w:p w14:paraId="5594F1A5" w14:textId="77777777" w:rsidR="002A2422" w:rsidRDefault="002A2422">
      <w:pPr>
        <w:tabs>
          <w:tab w:val="left" w:pos="1260"/>
          <w:tab w:val="center" w:pos="4320"/>
          <w:tab w:val="right" w:pos="8640"/>
        </w:tabs>
        <w:rPr>
          <w:rFonts w:asciiTheme="minorHAnsi" w:eastAsia="Calibri" w:hAnsiTheme="minorHAnsi" w:cstheme="minorHAnsi"/>
          <w:color w:val="000000"/>
          <w:sz w:val="24"/>
          <w:szCs w:val="24"/>
        </w:rPr>
      </w:pPr>
    </w:p>
    <w:p w14:paraId="4E073769" w14:textId="77777777" w:rsidR="002A2422" w:rsidRDefault="002A2422">
      <w:pPr>
        <w:tabs>
          <w:tab w:val="left" w:pos="1260"/>
          <w:tab w:val="center" w:pos="4320"/>
          <w:tab w:val="right" w:pos="8640"/>
        </w:tabs>
        <w:rPr>
          <w:rFonts w:asciiTheme="minorHAnsi" w:eastAsia="Calibri" w:hAnsiTheme="minorHAnsi" w:cstheme="minorHAnsi"/>
          <w:color w:val="000000"/>
          <w:sz w:val="24"/>
          <w:szCs w:val="24"/>
        </w:rPr>
      </w:pPr>
    </w:p>
    <w:p w14:paraId="05E58347" w14:textId="77777777" w:rsidR="002A2422" w:rsidRDefault="002A2422">
      <w:pPr>
        <w:tabs>
          <w:tab w:val="left" w:pos="1260"/>
          <w:tab w:val="center" w:pos="4320"/>
          <w:tab w:val="right" w:pos="8640"/>
        </w:tabs>
        <w:rPr>
          <w:rFonts w:asciiTheme="minorHAnsi" w:eastAsia="Calibri" w:hAnsiTheme="minorHAnsi" w:cstheme="minorHAnsi"/>
          <w:color w:val="000000"/>
          <w:sz w:val="24"/>
          <w:szCs w:val="24"/>
        </w:rPr>
      </w:pPr>
    </w:p>
    <w:p w14:paraId="50E9DCE2" w14:textId="77777777" w:rsidR="002A2422" w:rsidRDefault="003B3AD7">
      <w:pPr>
        <w:spacing w:before="280" w:after="280"/>
        <w:jc w:val="center"/>
        <w:rPr>
          <w:rFonts w:asciiTheme="minorHAnsi" w:eastAsia="Arial" w:hAnsiTheme="minorHAnsi" w:cstheme="minorHAnsi"/>
          <w:b/>
          <w:color w:val="000000"/>
          <w:sz w:val="36"/>
          <w:szCs w:val="36"/>
        </w:rPr>
      </w:pPr>
      <w:bookmarkStart w:id="1" w:name="_30j0zll" w:colFirst="0" w:colLast="0"/>
      <w:bookmarkEnd w:id="1"/>
      <w:r>
        <w:rPr>
          <w:rFonts w:asciiTheme="minorHAnsi" w:hAnsiTheme="minorHAnsi" w:cstheme="minorHAnsi"/>
          <w:b/>
          <w:iCs/>
          <w:sz w:val="36"/>
          <w:szCs w:val="36"/>
        </w:rPr>
        <w:t>Τομεακό Πρόγραμμα Ανάπτυξης (ΤΠΑ) του Υπουργείου Πολιτισμού και Αθλητισμού</w:t>
      </w:r>
    </w:p>
    <w:p w14:paraId="36CBBCBE" w14:textId="77777777" w:rsidR="002A2422" w:rsidRDefault="002A2422">
      <w:pPr>
        <w:rPr>
          <w:rFonts w:asciiTheme="minorHAnsi" w:eastAsia="Calibri" w:hAnsiTheme="minorHAnsi" w:cstheme="minorHAnsi"/>
          <w:b/>
          <w:color w:val="000000"/>
          <w:sz w:val="24"/>
          <w:szCs w:val="24"/>
        </w:rPr>
      </w:pPr>
    </w:p>
    <w:p w14:paraId="41149B6B" w14:textId="77777777" w:rsidR="002A2422" w:rsidRDefault="003B3AD7">
      <w:pPr>
        <w:rPr>
          <w:rFonts w:asciiTheme="minorHAnsi" w:eastAsia="Calibri" w:hAnsiTheme="minorHAnsi" w:cstheme="minorHAnsi"/>
          <w:b/>
          <w:color w:val="000000"/>
          <w:sz w:val="24"/>
          <w:szCs w:val="24"/>
        </w:rPr>
      </w:pPr>
      <w:r>
        <w:rPr>
          <w:rFonts w:asciiTheme="minorHAnsi" w:eastAsia="Calibri" w:hAnsiTheme="minorHAnsi" w:cstheme="minorHAnsi"/>
          <w:b/>
          <w:color w:val="000000"/>
          <w:sz w:val="24"/>
          <w:szCs w:val="24"/>
        </w:rPr>
        <w:t xml:space="preserve">     </w:t>
      </w:r>
    </w:p>
    <w:p w14:paraId="4E9B1BE8" w14:textId="77777777" w:rsidR="002A2422" w:rsidRDefault="003B3AD7">
      <w:pPr>
        <w:jc w:val="center"/>
        <w:rPr>
          <w:rFonts w:ascii="Cambria" w:hAnsi="Cambria" w:cs="Cambria"/>
          <w:sz w:val="20"/>
          <w:szCs w:val="20"/>
        </w:rPr>
      </w:pPr>
      <w:r>
        <w:rPr>
          <w:rFonts w:ascii="Cambria" w:eastAsia="Calibri-BoldItalic" w:hAnsi="Cambria" w:cs="Cambria"/>
          <w:b/>
          <w:bCs/>
          <w:color w:val="000000"/>
          <w:sz w:val="20"/>
          <w:szCs w:val="20"/>
          <w:lang w:eastAsia="zh-CN" w:bidi="ar"/>
        </w:rPr>
        <w:t>Στο πλαίσιο του Εθνικού Προγράμματος Ανάπτυξης (ΕΠΑ)</w:t>
      </w:r>
    </w:p>
    <w:p w14:paraId="2F8A6A6D" w14:textId="77777777" w:rsidR="002A2422" w:rsidRDefault="002A2422">
      <w:pPr>
        <w:jc w:val="center"/>
        <w:rPr>
          <w:rFonts w:asciiTheme="minorHAnsi" w:eastAsia="Calibri" w:hAnsiTheme="minorHAnsi" w:cstheme="minorHAnsi"/>
          <w:b/>
          <w:color w:val="000000"/>
          <w:sz w:val="20"/>
          <w:szCs w:val="20"/>
        </w:rPr>
      </w:pPr>
    </w:p>
    <w:p w14:paraId="6C219496" w14:textId="77777777" w:rsidR="002A2422" w:rsidRDefault="002A2422">
      <w:pPr>
        <w:jc w:val="center"/>
        <w:rPr>
          <w:rFonts w:asciiTheme="minorHAnsi" w:eastAsia="Calibri" w:hAnsiTheme="minorHAnsi" w:cstheme="minorHAnsi"/>
          <w:b/>
          <w:color w:val="000000"/>
          <w:sz w:val="20"/>
          <w:szCs w:val="20"/>
        </w:rPr>
      </w:pPr>
    </w:p>
    <w:p w14:paraId="5F4E3926" w14:textId="77777777" w:rsidR="002A2422" w:rsidRDefault="003B3AD7">
      <w:pPr>
        <w:jc w:val="center"/>
        <w:rPr>
          <w:rFonts w:asciiTheme="minorHAnsi" w:eastAsia="Calibri" w:hAnsiTheme="minorHAnsi" w:cstheme="minorHAnsi"/>
          <w:b/>
          <w:color w:val="000000"/>
          <w:sz w:val="20"/>
          <w:szCs w:val="20"/>
        </w:rPr>
      </w:pPr>
      <w:r>
        <w:rPr>
          <w:noProof/>
          <w:sz w:val="20"/>
          <w:szCs w:val="20"/>
        </w:rPr>
        <w:drawing>
          <wp:inline distT="0" distB="0" distL="114300" distR="114300" wp14:anchorId="30FCBA8B" wp14:editId="6A8D3445">
            <wp:extent cx="1371600" cy="7048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9"/>
                    <a:stretch>
                      <a:fillRect/>
                    </a:stretch>
                  </pic:blipFill>
                  <pic:spPr>
                    <a:xfrm>
                      <a:off x="0" y="0"/>
                      <a:ext cx="1371600" cy="704850"/>
                    </a:xfrm>
                    <a:prstGeom prst="rect">
                      <a:avLst/>
                    </a:prstGeom>
                    <a:noFill/>
                    <a:ln>
                      <a:noFill/>
                    </a:ln>
                  </pic:spPr>
                </pic:pic>
              </a:graphicData>
            </a:graphic>
          </wp:inline>
        </w:drawing>
      </w:r>
    </w:p>
    <w:p w14:paraId="56F34DFB" w14:textId="77777777" w:rsidR="002A2422" w:rsidRDefault="003B3AD7">
      <w:pPr>
        <w:jc w:val="center"/>
        <w:rPr>
          <w:rFonts w:ascii="Cambria" w:hAnsi="Cambria" w:cs="Cambria"/>
          <w:sz w:val="20"/>
          <w:szCs w:val="20"/>
        </w:rPr>
      </w:pPr>
      <w:r>
        <w:rPr>
          <w:rFonts w:ascii="Cambria" w:eastAsia="Calibri-Bold" w:hAnsi="Cambria" w:cs="Cambria"/>
          <w:b/>
          <w:bCs/>
          <w:color w:val="000000"/>
          <w:sz w:val="20"/>
          <w:szCs w:val="20"/>
          <w:lang w:eastAsia="zh-CN" w:bidi="ar"/>
        </w:rPr>
        <w:t>Προγραμματική Περίοδος 2021-2025</w:t>
      </w:r>
    </w:p>
    <w:p w14:paraId="4F037498" w14:textId="77777777" w:rsidR="002A2422" w:rsidRDefault="002A2422">
      <w:pPr>
        <w:rPr>
          <w:rFonts w:ascii="Cambria" w:eastAsia="Calibri" w:hAnsi="Cambria" w:cs="Cambria"/>
          <w:b/>
          <w:color w:val="000000"/>
          <w:sz w:val="24"/>
          <w:szCs w:val="24"/>
        </w:rPr>
      </w:pPr>
    </w:p>
    <w:p w14:paraId="529CBFF6" w14:textId="77777777" w:rsidR="002A2422" w:rsidRDefault="002A2422">
      <w:pPr>
        <w:rPr>
          <w:rFonts w:asciiTheme="minorHAnsi" w:eastAsia="Calibri" w:hAnsiTheme="minorHAnsi" w:cstheme="minorHAnsi"/>
          <w:b/>
          <w:color w:val="000000"/>
          <w:sz w:val="24"/>
          <w:szCs w:val="24"/>
        </w:rPr>
      </w:pPr>
    </w:p>
    <w:p w14:paraId="627D2AEA" w14:textId="77777777" w:rsidR="002A2422" w:rsidRDefault="002A2422">
      <w:pPr>
        <w:rPr>
          <w:rFonts w:asciiTheme="minorHAnsi" w:eastAsia="Calibri" w:hAnsiTheme="minorHAnsi" w:cstheme="minorHAnsi"/>
          <w:b/>
          <w:color w:val="000000"/>
          <w:sz w:val="24"/>
          <w:szCs w:val="24"/>
        </w:rPr>
      </w:pPr>
    </w:p>
    <w:p w14:paraId="76E43815" w14:textId="77777777" w:rsidR="002A2422" w:rsidRDefault="003B3AD7">
      <w:pPr>
        <w:ind w:left="3600" w:firstLine="720"/>
        <w:jc w:val="left"/>
      </w:pPr>
      <w:r>
        <w:rPr>
          <w:rFonts w:ascii="Calibri" w:eastAsia="SimSun" w:hAnsi="Calibri" w:cs="Calibri"/>
          <w:color w:val="000000"/>
          <w:lang w:eastAsia="zh-CN" w:bidi="ar"/>
        </w:rPr>
        <w:t>©2021</w:t>
      </w:r>
    </w:p>
    <w:p w14:paraId="2C487F1B" w14:textId="77777777" w:rsidR="002A2422" w:rsidRDefault="002A2422">
      <w:pPr>
        <w:rPr>
          <w:rFonts w:asciiTheme="minorHAnsi" w:eastAsia="Calibri" w:hAnsiTheme="minorHAnsi" w:cstheme="minorHAnsi"/>
          <w:b/>
          <w:color w:val="000000"/>
          <w:sz w:val="24"/>
          <w:szCs w:val="24"/>
        </w:rPr>
      </w:pPr>
    </w:p>
    <w:p w14:paraId="744103D9" w14:textId="77777777" w:rsidR="002A2422" w:rsidRDefault="002A2422">
      <w:pPr>
        <w:rPr>
          <w:rFonts w:asciiTheme="minorHAnsi" w:eastAsia="Calibri" w:hAnsiTheme="minorHAnsi" w:cstheme="minorHAnsi"/>
          <w:b/>
          <w:color w:val="000000"/>
          <w:sz w:val="24"/>
          <w:szCs w:val="24"/>
        </w:rPr>
      </w:pPr>
    </w:p>
    <w:p w14:paraId="7D3DA240" w14:textId="77777777" w:rsidR="002A2422" w:rsidRDefault="002A2422">
      <w:pPr>
        <w:rPr>
          <w:rFonts w:asciiTheme="minorHAnsi" w:eastAsia="Calibri" w:hAnsiTheme="minorHAnsi" w:cstheme="minorHAnsi"/>
          <w:b/>
          <w:color w:val="000000"/>
          <w:sz w:val="24"/>
          <w:szCs w:val="24"/>
        </w:rPr>
      </w:pPr>
    </w:p>
    <w:p w14:paraId="40866C5C" w14:textId="77777777" w:rsidR="002A2422" w:rsidRDefault="003B3AD7">
      <w:pPr>
        <w:rPr>
          <w:rFonts w:asciiTheme="minorHAnsi" w:eastAsia="Calibri" w:hAnsiTheme="minorHAnsi" w:cstheme="minorHAnsi"/>
          <w:b/>
          <w:color w:val="000000"/>
          <w:sz w:val="24"/>
          <w:szCs w:val="24"/>
        </w:rPr>
      </w:pPr>
      <w:r>
        <w:rPr>
          <w:rFonts w:asciiTheme="minorHAnsi" w:eastAsia="Calibri" w:hAnsiTheme="minorHAnsi" w:cstheme="minorHAnsi"/>
          <w:b/>
          <w:color w:val="000000"/>
          <w:sz w:val="24"/>
          <w:szCs w:val="24"/>
        </w:rPr>
        <w:t>Δήλωση Εμπιστευτικότητας</w:t>
      </w:r>
    </w:p>
    <w:p w14:paraId="7FF7C9AE" w14:textId="77777777" w:rsidR="002A2422" w:rsidRDefault="002A2422">
      <w:pPr>
        <w:rPr>
          <w:rFonts w:asciiTheme="minorHAnsi" w:eastAsia="Calibri" w:hAnsiTheme="minorHAnsi" w:cstheme="minorHAnsi"/>
          <w:sz w:val="24"/>
          <w:szCs w:val="24"/>
        </w:rPr>
      </w:pPr>
    </w:p>
    <w:p w14:paraId="60010442" w14:textId="77777777" w:rsidR="002A2422" w:rsidRDefault="003B3AD7">
      <w:pPr>
        <w:rPr>
          <w:rFonts w:asciiTheme="minorHAnsi" w:eastAsia="Calibri" w:hAnsiTheme="minorHAnsi" w:cstheme="minorHAnsi"/>
          <w:sz w:val="20"/>
          <w:szCs w:val="20"/>
        </w:rPr>
      </w:pPr>
      <w:r>
        <w:rPr>
          <w:rFonts w:asciiTheme="minorHAnsi" w:eastAsia="Calibri" w:hAnsiTheme="minorHAnsi" w:cstheme="minorHAnsi"/>
          <w:sz w:val="20"/>
          <w:szCs w:val="20"/>
        </w:rPr>
        <w:t>Η παρούσα πρόταση (παραδοτέο έργου) περιέχει σημαντικές τεχνικές πληροφορίες και κατηγοριοποιείται σαν «ΕΜΠΙΣΤΕΥΤΙΚΗ».</w:t>
      </w:r>
    </w:p>
    <w:p w14:paraId="220D2F1F" w14:textId="77777777" w:rsidR="002A2422" w:rsidRDefault="002A2422">
      <w:pPr>
        <w:rPr>
          <w:rFonts w:asciiTheme="minorHAnsi" w:eastAsia="Calibri" w:hAnsiTheme="minorHAnsi" w:cstheme="minorHAnsi"/>
          <w:sz w:val="20"/>
          <w:szCs w:val="20"/>
        </w:rPr>
      </w:pPr>
    </w:p>
    <w:p w14:paraId="6ED57540" w14:textId="77777777" w:rsidR="002A2422" w:rsidRDefault="002A2422">
      <w:pPr>
        <w:rPr>
          <w:rFonts w:asciiTheme="minorHAnsi" w:eastAsia="Calibri" w:hAnsiTheme="minorHAnsi" w:cstheme="minorHAnsi"/>
          <w:b/>
          <w:color w:val="000000"/>
          <w:sz w:val="24"/>
          <w:szCs w:val="24"/>
        </w:rPr>
      </w:pPr>
    </w:p>
    <w:p w14:paraId="0E0012E9" w14:textId="77777777" w:rsidR="002A2422" w:rsidRDefault="002A2422">
      <w:pPr>
        <w:rPr>
          <w:rFonts w:asciiTheme="minorHAnsi" w:hAnsiTheme="minorHAnsi" w:cstheme="minorHAnsi"/>
          <w:sz w:val="24"/>
          <w:szCs w:val="24"/>
        </w:rPr>
      </w:pPr>
    </w:p>
    <w:p w14:paraId="33E23575" w14:textId="77777777" w:rsidR="002A2422" w:rsidRDefault="002A2422">
      <w:pPr>
        <w:rPr>
          <w:rFonts w:asciiTheme="minorHAnsi" w:hAnsiTheme="minorHAnsi" w:cstheme="minorHAnsi"/>
          <w:sz w:val="24"/>
          <w:szCs w:val="24"/>
        </w:rPr>
      </w:pPr>
    </w:p>
    <w:p w14:paraId="0829A7EB" w14:textId="77777777" w:rsidR="002A2422" w:rsidRDefault="002A2422">
      <w:pPr>
        <w:rPr>
          <w:rFonts w:asciiTheme="minorHAnsi" w:hAnsiTheme="minorHAnsi" w:cstheme="minorHAnsi"/>
          <w:sz w:val="24"/>
          <w:szCs w:val="24"/>
        </w:rPr>
      </w:pPr>
    </w:p>
    <w:p w14:paraId="411B90C1" w14:textId="77777777" w:rsidR="002A2422" w:rsidRDefault="002A2422">
      <w:pPr>
        <w:rPr>
          <w:rFonts w:asciiTheme="minorHAnsi" w:hAnsiTheme="minorHAnsi" w:cstheme="minorHAnsi"/>
          <w:sz w:val="24"/>
          <w:szCs w:val="24"/>
        </w:rPr>
      </w:pPr>
    </w:p>
    <w:p w14:paraId="598D004C" w14:textId="77777777" w:rsidR="002A2422" w:rsidRDefault="002A2422">
      <w:pPr>
        <w:rPr>
          <w:rFonts w:asciiTheme="minorHAnsi" w:hAnsiTheme="minorHAnsi" w:cstheme="minorHAnsi"/>
          <w:sz w:val="24"/>
          <w:szCs w:val="24"/>
        </w:rPr>
      </w:pPr>
    </w:p>
    <w:p w14:paraId="115148B1" w14:textId="77777777" w:rsidR="002A2422" w:rsidRDefault="002A2422">
      <w:pPr>
        <w:rPr>
          <w:rFonts w:asciiTheme="minorHAnsi" w:hAnsiTheme="minorHAnsi" w:cstheme="minorHAnsi"/>
          <w:sz w:val="24"/>
          <w:szCs w:val="24"/>
        </w:rPr>
      </w:pPr>
    </w:p>
    <w:p w14:paraId="765E630C" w14:textId="77777777" w:rsidR="002A2422" w:rsidRDefault="002A2422">
      <w:pPr>
        <w:rPr>
          <w:rFonts w:asciiTheme="minorHAnsi" w:hAnsiTheme="minorHAnsi" w:cstheme="minorHAnsi"/>
          <w:sz w:val="24"/>
          <w:szCs w:val="24"/>
        </w:rPr>
      </w:pPr>
    </w:p>
    <w:p w14:paraId="1E0ABEC5" w14:textId="77777777" w:rsidR="002A2422" w:rsidRDefault="002A2422">
      <w:pPr>
        <w:rPr>
          <w:rFonts w:asciiTheme="minorHAnsi" w:hAnsiTheme="minorHAnsi" w:cstheme="minorHAnsi"/>
          <w:sz w:val="24"/>
          <w:szCs w:val="24"/>
        </w:rPr>
      </w:pPr>
    </w:p>
    <w:p w14:paraId="1D454557" w14:textId="77777777" w:rsidR="002A2422" w:rsidRDefault="002A2422">
      <w:pPr>
        <w:rPr>
          <w:rFonts w:asciiTheme="minorHAnsi" w:hAnsiTheme="minorHAnsi" w:cstheme="minorHAnsi"/>
          <w:sz w:val="24"/>
          <w:szCs w:val="24"/>
        </w:rPr>
      </w:pPr>
    </w:p>
    <w:p w14:paraId="0581CFCF" w14:textId="77777777" w:rsidR="002A2422" w:rsidRDefault="002A2422">
      <w:pPr>
        <w:rPr>
          <w:rFonts w:asciiTheme="minorHAnsi" w:hAnsiTheme="minorHAnsi" w:cstheme="minorHAnsi"/>
          <w:sz w:val="24"/>
          <w:szCs w:val="24"/>
        </w:rPr>
      </w:pPr>
    </w:p>
    <w:p w14:paraId="600DEA53" w14:textId="77777777" w:rsidR="002A2422" w:rsidRDefault="002A2422">
      <w:pPr>
        <w:rPr>
          <w:rFonts w:asciiTheme="minorHAnsi" w:hAnsiTheme="minorHAnsi" w:cstheme="minorHAnsi"/>
          <w:sz w:val="24"/>
          <w:szCs w:val="24"/>
        </w:rPr>
      </w:pPr>
    </w:p>
    <w:p w14:paraId="10E35FDA" w14:textId="77777777" w:rsidR="002A2422" w:rsidRDefault="002A2422">
      <w:pPr>
        <w:rPr>
          <w:rFonts w:asciiTheme="minorHAnsi" w:hAnsiTheme="minorHAnsi" w:cstheme="minorHAnsi"/>
          <w:sz w:val="24"/>
          <w:szCs w:val="24"/>
        </w:rPr>
      </w:pPr>
    </w:p>
    <w:p w14:paraId="7DE0DEAC" w14:textId="77777777" w:rsidR="002A2422" w:rsidRDefault="002A2422">
      <w:pPr>
        <w:rPr>
          <w:rFonts w:asciiTheme="minorHAnsi" w:hAnsiTheme="minorHAnsi" w:cstheme="minorHAnsi"/>
          <w:sz w:val="24"/>
          <w:szCs w:val="24"/>
        </w:rPr>
      </w:pPr>
    </w:p>
    <w:p w14:paraId="36CB5A55" w14:textId="77777777" w:rsidR="002A2422" w:rsidRDefault="002A2422">
      <w:pPr>
        <w:rPr>
          <w:rFonts w:asciiTheme="minorHAnsi" w:hAnsiTheme="minorHAnsi" w:cstheme="minorHAnsi"/>
          <w:sz w:val="24"/>
          <w:szCs w:val="24"/>
        </w:rPr>
      </w:pPr>
    </w:p>
    <w:p w14:paraId="32552D72" w14:textId="77777777" w:rsidR="002A2422" w:rsidRDefault="002A2422">
      <w:pPr>
        <w:rPr>
          <w:rFonts w:asciiTheme="minorHAnsi" w:hAnsiTheme="minorHAnsi" w:cstheme="minorHAnsi"/>
          <w:sz w:val="24"/>
          <w:szCs w:val="24"/>
        </w:rPr>
      </w:pPr>
    </w:p>
    <w:p w14:paraId="08BD3B98" w14:textId="77777777" w:rsidR="002A2422" w:rsidRDefault="002A2422">
      <w:pPr>
        <w:rPr>
          <w:rFonts w:asciiTheme="minorHAnsi" w:hAnsiTheme="minorHAnsi" w:cstheme="minorHAnsi"/>
          <w:sz w:val="24"/>
          <w:szCs w:val="24"/>
        </w:rPr>
      </w:pPr>
    </w:p>
    <w:p w14:paraId="5EA3ED24" w14:textId="77777777" w:rsidR="002A2422" w:rsidRDefault="002A2422">
      <w:pPr>
        <w:rPr>
          <w:rFonts w:asciiTheme="minorHAnsi" w:hAnsiTheme="minorHAnsi" w:cstheme="minorHAnsi"/>
          <w:sz w:val="24"/>
          <w:szCs w:val="24"/>
        </w:rPr>
      </w:pPr>
    </w:p>
    <w:p w14:paraId="51CD5D63" w14:textId="77777777" w:rsidR="002A2422" w:rsidRDefault="002A2422">
      <w:pPr>
        <w:rPr>
          <w:rFonts w:asciiTheme="minorHAnsi" w:hAnsiTheme="minorHAnsi" w:cstheme="minorHAnsi"/>
          <w:sz w:val="24"/>
          <w:szCs w:val="24"/>
        </w:rPr>
      </w:pPr>
    </w:p>
    <w:p w14:paraId="4E847A9A" w14:textId="77777777" w:rsidR="002A2422" w:rsidRDefault="002A2422">
      <w:pPr>
        <w:rPr>
          <w:rFonts w:asciiTheme="minorHAnsi" w:hAnsiTheme="minorHAnsi" w:cstheme="minorHAnsi"/>
          <w:sz w:val="24"/>
          <w:szCs w:val="24"/>
        </w:rPr>
      </w:pPr>
    </w:p>
    <w:p w14:paraId="4B604567" w14:textId="77777777" w:rsidR="002A2422" w:rsidRDefault="002A2422">
      <w:pPr>
        <w:rPr>
          <w:rFonts w:asciiTheme="minorHAnsi" w:hAnsiTheme="minorHAnsi" w:cstheme="minorHAnsi"/>
          <w:sz w:val="24"/>
          <w:szCs w:val="24"/>
        </w:rPr>
      </w:pPr>
    </w:p>
    <w:p w14:paraId="475369FE" w14:textId="77777777" w:rsidR="002A2422" w:rsidRDefault="002A2422">
      <w:pPr>
        <w:rPr>
          <w:rFonts w:asciiTheme="minorHAnsi" w:hAnsiTheme="minorHAnsi" w:cstheme="minorHAnsi"/>
          <w:sz w:val="24"/>
          <w:szCs w:val="24"/>
        </w:rPr>
      </w:pPr>
    </w:p>
    <w:p w14:paraId="66160C7D" w14:textId="77777777" w:rsidR="002A2422" w:rsidRDefault="003B3AD7">
      <w:pPr>
        <w:keepNext/>
        <w:keepLines/>
        <w:pBdr>
          <w:bottom w:val="single" w:sz="4" w:space="1" w:color="333399"/>
        </w:pBdr>
        <w:tabs>
          <w:tab w:val="left" w:pos="851"/>
          <w:tab w:val="left" w:pos="1701"/>
          <w:tab w:val="left" w:pos="2268"/>
          <w:tab w:val="left" w:pos="2835"/>
          <w:tab w:val="left" w:pos="3402"/>
          <w:tab w:val="left" w:pos="3969"/>
          <w:tab w:val="left" w:pos="5103"/>
          <w:tab w:val="left" w:pos="6237"/>
        </w:tabs>
        <w:spacing w:before="480"/>
        <w:jc w:val="center"/>
        <w:rPr>
          <w:rFonts w:asciiTheme="minorHAnsi" w:eastAsia="Cambria" w:hAnsiTheme="minorHAnsi" w:cstheme="minorHAnsi"/>
          <w:b/>
          <w:color w:val="365F91"/>
          <w:sz w:val="24"/>
          <w:szCs w:val="24"/>
        </w:rPr>
      </w:pPr>
      <w:bookmarkStart w:id="2" w:name="_1fob9te" w:colFirst="0" w:colLast="0"/>
      <w:bookmarkEnd w:id="2"/>
      <w:r>
        <w:rPr>
          <w:rFonts w:asciiTheme="minorHAnsi" w:eastAsia="Cambria" w:hAnsiTheme="minorHAnsi" w:cstheme="minorHAnsi"/>
          <w:b/>
          <w:color w:val="365F91"/>
          <w:sz w:val="24"/>
          <w:szCs w:val="24"/>
        </w:rPr>
        <w:lastRenderedPageBreak/>
        <w:t>Περιεχόμενα</w:t>
      </w:r>
    </w:p>
    <w:p w14:paraId="76EA01BB" w14:textId="77777777" w:rsidR="002A2422" w:rsidRDefault="006D122A">
      <w:pPr>
        <w:pStyle w:val="10"/>
        <w:rPr>
          <w:rFonts w:asciiTheme="minorHAnsi" w:eastAsiaTheme="minorEastAsia" w:hAnsiTheme="minorHAnsi" w:cstheme="minorBidi"/>
          <w:lang w:bidi="he-IL"/>
        </w:rPr>
      </w:pPr>
      <w:hyperlink w:anchor="_Toc73665464" w:history="1">
        <w:r w:rsidR="003B3AD7">
          <w:rPr>
            <w:rStyle w:val="-"/>
          </w:rPr>
          <w:t>ΕΙΣΑΓΩΓΗ</w:t>
        </w:r>
        <w:r w:rsidR="003B3AD7">
          <w:tab/>
        </w:r>
        <w:r w:rsidR="003B3AD7" w:rsidRPr="003B3AD7">
          <w:t>5</w:t>
        </w:r>
      </w:hyperlink>
    </w:p>
    <w:p w14:paraId="0A515979" w14:textId="77777777" w:rsidR="002A2422" w:rsidRDefault="006D122A">
      <w:pPr>
        <w:pStyle w:val="10"/>
        <w:tabs>
          <w:tab w:val="left" w:pos="440"/>
        </w:tabs>
        <w:rPr>
          <w:rFonts w:asciiTheme="minorHAnsi" w:eastAsiaTheme="minorEastAsia" w:hAnsiTheme="minorHAnsi" w:cstheme="minorBidi"/>
          <w:lang w:bidi="he-IL"/>
        </w:rPr>
      </w:pPr>
      <w:hyperlink w:anchor="_Toc73665465" w:history="1">
        <w:r w:rsidR="003B3AD7">
          <w:rPr>
            <w:rStyle w:val="-"/>
          </w:rPr>
          <w:t>1</w:t>
        </w:r>
        <w:r w:rsidR="003B3AD7">
          <w:rPr>
            <w:rFonts w:asciiTheme="minorHAnsi" w:eastAsiaTheme="minorEastAsia" w:hAnsiTheme="minorHAnsi" w:cstheme="minorBidi"/>
            <w:lang w:bidi="he-IL"/>
          </w:rPr>
          <w:tab/>
        </w:r>
        <w:r w:rsidR="003B3AD7">
          <w:rPr>
            <w:rStyle w:val="-"/>
          </w:rPr>
          <w:t>ΑΝΑΛΥΣΗ ΥΦΙΣΤΑΜΕΝΗΣ ΚΑΤΑΣΤΑΣΗΣ</w:t>
        </w:r>
        <w:r w:rsidR="003B3AD7">
          <w:tab/>
        </w:r>
        <w:r w:rsidR="003B3AD7" w:rsidRPr="003B3AD7">
          <w:t>6</w:t>
        </w:r>
      </w:hyperlink>
    </w:p>
    <w:p w14:paraId="6DE23838" w14:textId="77777777" w:rsidR="002A2422" w:rsidRDefault="006D122A">
      <w:pPr>
        <w:pStyle w:val="20"/>
        <w:tabs>
          <w:tab w:val="left" w:pos="880"/>
          <w:tab w:val="right" w:leader="dot" w:pos="9350"/>
        </w:tabs>
        <w:rPr>
          <w:rFonts w:asciiTheme="minorHAnsi" w:eastAsiaTheme="minorEastAsia" w:hAnsiTheme="minorHAnsi" w:cstheme="minorBidi"/>
          <w:lang w:bidi="he-IL"/>
        </w:rPr>
      </w:pPr>
      <w:hyperlink w:anchor="_Toc73665466" w:history="1">
        <w:r w:rsidR="003B3AD7">
          <w:rPr>
            <w:rStyle w:val="-"/>
          </w:rPr>
          <w:t>1.1</w:t>
        </w:r>
        <w:r w:rsidR="003B3AD7">
          <w:rPr>
            <w:rFonts w:asciiTheme="minorHAnsi" w:eastAsiaTheme="minorEastAsia" w:hAnsiTheme="minorHAnsi" w:cstheme="minorBidi"/>
            <w:lang w:bidi="he-IL"/>
          </w:rPr>
          <w:tab/>
        </w:r>
        <w:r w:rsidR="003B3AD7">
          <w:rPr>
            <w:rStyle w:val="-"/>
          </w:rPr>
          <w:t>ΘΕΣΜΙΚΟ ΠΛΑΙΣΙΟ ΦΟΡΕΑ ΚΑΤΑΡΤΙΣΗΣ - ΚΑΝΟΝΙΣΤΙΚΗ ΑΡΜΟΔΙΟΤΗΤΑ - ΤΟΜΕΙΣ ΠΑΡΕΜΒΑΣΗΣ</w:t>
        </w:r>
        <w:r w:rsidR="003B3AD7">
          <w:tab/>
        </w:r>
        <w:r w:rsidR="003B3AD7" w:rsidRPr="003B3AD7">
          <w:t>6</w:t>
        </w:r>
      </w:hyperlink>
    </w:p>
    <w:p w14:paraId="1A939E34" w14:textId="77777777" w:rsidR="002A2422" w:rsidRDefault="006D122A">
      <w:pPr>
        <w:pStyle w:val="30"/>
        <w:tabs>
          <w:tab w:val="left" w:pos="1320"/>
          <w:tab w:val="right" w:leader="dot" w:pos="9350"/>
        </w:tabs>
        <w:rPr>
          <w:rFonts w:asciiTheme="minorHAnsi" w:eastAsiaTheme="minorEastAsia" w:hAnsiTheme="minorHAnsi" w:cstheme="minorBidi"/>
          <w:lang w:bidi="he-IL"/>
        </w:rPr>
      </w:pPr>
      <w:hyperlink w:anchor="_Toc73665467" w:history="1">
        <w:r w:rsidR="003B3AD7">
          <w:rPr>
            <w:rStyle w:val="-"/>
          </w:rPr>
          <w:t>1.1.1</w:t>
        </w:r>
        <w:r w:rsidR="003B3AD7">
          <w:rPr>
            <w:rFonts w:asciiTheme="minorHAnsi" w:eastAsiaTheme="minorEastAsia" w:hAnsiTheme="minorHAnsi" w:cstheme="minorBidi"/>
            <w:lang w:bidi="he-IL"/>
          </w:rPr>
          <w:tab/>
        </w:r>
        <w:r w:rsidR="003B3AD7">
          <w:rPr>
            <w:rStyle w:val="-"/>
          </w:rPr>
          <w:t>Θεσμικό Πλαίσιο  Υπουργείου Πολιτισμού &amp; Αθλητισμού</w:t>
        </w:r>
        <w:r w:rsidR="003B3AD7">
          <w:tab/>
        </w:r>
        <w:r w:rsidR="003B3AD7" w:rsidRPr="003B3AD7">
          <w:t>6</w:t>
        </w:r>
      </w:hyperlink>
    </w:p>
    <w:p w14:paraId="2C28ED0F" w14:textId="77777777" w:rsidR="002A2422" w:rsidRDefault="006D122A">
      <w:pPr>
        <w:pStyle w:val="20"/>
        <w:tabs>
          <w:tab w:val="left" w:pos="880"/>
          <w:tab w:val="right" w:leader="dot" w:pos="9350"/>
        </w:tabs>
        <w:rPr>
          <w:rFonts w:asciiTheme="minorHAnsi" w:eastAsiaTheme="minorEastAsia" w:hAnsiTheme="minorHAnsi" w:cstheme="minorBidi"/>
          <w:lang w:bidi="he-IL"/>
        </w:rPr>
      </w:pPr>
      <w:hyperlink w:anchor="_Toc73665468" w:history="1">
        <w:r w:rsidR="003B3AD7">
          <w:rPr>
            <w:rStyle w:val="-"/>
          </w:rPr>
          <w:t>1.2</w:t>
        </w:r>
        <w:r w:rsidR="003B3AD7">
          <w:rPr>
            <w:rFonts w:asciiTheme="minorHAnsi" w:eastAsiaTheme="minorEastAsia" w:hAnsiTheme="minorHAnsi" w:cstheme="minorBidi"/>
            <w:lang w:bidi="he-IL"/>
          </w:rPr>
          <w:tab/>
        </w:r>
        <w:r w:rsidR="003B3AD7">
          <w:rPr>
            <w:rStyle w:val="-"/>
          </w:rPr>
          <w:t>ΕΘΝΙΚΑ ΣΤΡΑΤΗΓΙΚΑ ΚΕΙΜΕΝΑ - ΚΑΝΟΝΙΣΤΙΚΕΣ ΚΑΙ ΛΟΙΠΕΣ ΥΠΟΧΡΕΩΣΕΙΣ</w:t>
        </w:r>
        <w:r w:rsidR="003B3AD7">
          <w:tab/>
        </w:r>
        <w:r w:rsidR="003B3AD7">
          <w:fldChar w:fldCharType="begin"/>
        </w:r>
        <w:r w:rsidR="003B3AD7">
          <w:instrText xml:space="preserve"> PAGEREF _Toc73665468 \h </w:instrText>
        </w:r>
        <w:r w:rsidR="003B3AD7">
          <w:fldChar w:fldCharType="separate"/>
        </w:r>
        <w:r w:rsidR="003B3AD7">
          <w:t>2</w:t>
        </w:r>
        <w:r w:rsidR="003B3AD7" w:rsidRPr="003B3AD7">
          <w:t>4</w:t>
        </w:r>
        <w:r w:rsidR="003B3AD7">
          <w:fldChar w:fldCharType="end"/>
        </w:r>
      </w:hyperlink>
    </w:p>
    <w:p w14:paraId="391B2CD2" w14:textId="77777777" w:rsidR="002A2422" w:rsidRDefault="006D122A">
      <w:pPr>
        <w:pStyle w:val="30"/>
        <w:tabs>
          <w:tab w:val="left" w:pos="1320"/>
          <w:tab w:val="right" w:leader="dot" w:pos="9350"/>
        </w:tabs>
        <w:rPr>
          <w:rFonts w:asciiTheme="minorHAnsi" w:eastAsiaTheme="minorEastAsia" w:hAnsiTheme="minorHAnsi" w:cstheme="minorBidi"/>
          <w:lang w:bidi="he-IL"/>
        </w:rPr>
      </w:pPr>
      <w:hyperlink w:anchor="_Toc73665469" w:history="1">
        <w:r w:rsidR="003B3AD7">
          <w:rPr>
            <w:rStyle w:val="-"/>
            <w:lang w:eastAsia="en-US"/>
          </w:rPr>
          <w:t>1.2.1</w:t>
        </w:r>
        <w:r w:rsidR="003B3AD7">
          <w:rPr>
            <w:rFonts w:asciiTheme="minorHAnsi" w:eastAsiaTheme="minorEastAsia" w:hAnsiTheme="minorHAnsi" w:cstheme="minorBidi"/>
            <w:lang w:bidi="he-IL"/>
          </w:rPr>
          <w:tab/>
        </w:r>
        <w:r w:rsidR="003B3AD7">
          <w:rPr>
            <w:rStyle w:val="-"/>
            <w:lang w:eastAsia="en-US"/>
          </w:rPr>
          <w:t>Ευρωπαϊκή Πολιτική στον τομέα του Πολιτισμού και του αθλητισμού</w:t>
        </w:r>
        <w:r w:rsidR="003B3AD7">
          <w:tab/>
        </w:r>
        <w:r w:rsidR="003B3AD7">
          <w:fldChar w:fldCharType="begin"/>
        </w:r>
        <w:r w:rsidR="003B3AD7">
          <w:instrText xml:space="preserve"> PAGEREF _Toc73665469 \h </w:instrText>
        </w:r>
        <w:r w:rsidR="003B3AD7">
          <w:fldChar w:fldCharType="separate"/>
        </w:r>
        <w:r w:rsidR="003B3AD7">
          <w:t>2</w:t>
        </w:r>
        <w:r w:rsidR="003B3AD7" w:rsidRPr="003B3AD7">
          <w:t>4</w:t>
        </w:r>
        <w:r w:rsidR="003B3AD7">
          <w:fldChar w:fldCharType="end"/>
        </w:r>
      </w:hyperlink>
    </w:p>
    <w:p w14:paraId="62933BFE" w14:textId="77777777" w:rsidR="002A2422" w:rsidRDefault="006D122A">
      <w:pPr>
        <w:pStyle w:val="30"/>
        <w:tabs>
          <w:tab w:val="left" w:pos="1320"/>
          <w:tab w:val="right" w:leader="dot" w:pos="9350"/>
        </w:tabs>
        <w:rPr>
          <w:rFonts w:asciiTheme="minorHAnsi" w:eastAsiaTheme="minorEastAsia" w:hAnsiTheme="minorHAnsi" w:cstheme="minorBidi"/>
          <w:lang w:bidi="he-IL"/>
        </w:rPr>
      </w:pPr>
      <w:hyperlink w:anchor="_Toc73665470" w:history="1">
        <w:r w:rsidR="003B3AD7">
          <w:rPr>
            <w:rStyle w:val="-"/>
            <w:lang w:eastAsia="en-US"/>
          </w:rPr>
          <w:t>1.2.2</w:t>
        </w:r>
        <w:r w:rsidR="003B3AD7">
          <w:rPr>
            <w:rFonts w:asciiTheme="minorHAnsi" w:eastAsiaTheme="minorEastAsia" w:hAnsiTheme="minorHAnsi" w:cstheme="minorBidi"/>
            <w:lang w:bidi="he-IL"/>
          </w:rPr>
          <w:tab/>
        </w:r>
        <w:r w:rsidR="003B3AD7">
          <w:rPr>
            <w:rStyle w:val="-"/>
            <w:lang w:eastAsia="en-US"/>
          </w:rPr>
          <w:t>Ευρωπαϊκή ατζέντα για τον πολιτισμό</w:t>
        </w:r>
        <w:r w:rsidR="003B3AD7">
          <w:tab/>
        </w:r>
        <w:r w:rsidR="003B3AD7">
          <w:fldChar w:fldCharType="begin"/>
        </w:r>
        <w:r w:rsidR="003B3AD7">
          <w:instrText xml:space="preserve"> PAGEREF _Toc73665470 \h </w:instrText>
        </w:r>
        <w:r w:rsidR="003B3AD7">
          <w:fldChar w:fldCharType="separate"/>
        </w:r>
        <w:r w:rsidR="003B3AD7">
          <w:t>2</w:t>
        </w:r>
        <w:r w:rsidR="003B3AD7" w:rsidRPr="003B3AD7">
          <w:t>5</w:t>
        </w:r>
        <w:r w:rsidR="003B3AD7">
          <w:fldChar w:fldCharType="end"/>
        </w:r>
      </w:hyperlink>
    </w:p>
    <w:p w14:paraId="457178F5" w14:textId="77777777" w:rsidR="002A2422" w:rsidRDefault="006D122A">
      <w:pPr>
        <w:pStyle w:val="30"/>
        <w:tabs>
          <w:tab w:val="left" w:pos="1320"/>
          <w:tab w:val="right" w:leader="dot" w:pos="9350"/>
        </w:tabs>
        <w:rPr>
          <w:rFonts w:asciiTheme="minorHAnsi" w:eastAsiaTheme="minorEastAsia" w:hAnsiTheme="minorHAnsi" w:cstheme="minorBidi"/>
          <w:lang w:bidi="he-IL"/>
        </w:rPr>
      </w:pPr>
      <w:hyperlink w:anchor="_Toc73665471" w:history="1">
        <w:r w:rsidR="003B3AD7">
          <w:rPr>
            <w:rStyle w:val="-"/>
            <w:lang w:eastAsia="en-US"/>
          </w:rPr>
          <w:t>1.2.3</w:t>
        </w:r>
        <w:r w:rsidR="003B3AD7">
          <w:rPr>
            <w:rFonts w:asciiTheme="minorHAnsi" w:eastAsiaTheme="minorEastAsia" w:hAnsiTheme="minorHAnsi" w:cstheme="minorBidi"/>
            <w:lang w:bidi="he-IL"/>
          </w:rPr>
          <w:tab/>
        </w:r>
        <w:r w:rsidR="003B3AD7">
          <w:rPr>
            <w:rStyle w:val="-"/>
            <w:lang w:eastAsia="en-US"/>
          </w:rPr>
          <w:t>Εξωτερική διάσταση – Ενίσχυση των διεθνών πολιτιστικών σχέσεων</w:t>
        </w:r>
        <w:r w:rsidR="003B3AD7">
          <w:tab/>
        </w:r>
        <w:r w:rsidR="003B3AD7">
          <w:fldChar w:fldCharType="begin"/>
        </w:r>
        <w:r w:rsidR="003B3AD7">
          <w:instrText xml:space="preserve"> PAGEREF _Toc73665471 \h </w:instrText>
        </w:r>
        <w:r w:rsidR="003B3AD7">
          <w:fldChar w:fldCharType="separate"/>
        </w:r>
        <w:r w:rsidR="003B3AD7">
          <w:t>26</w:t>
        </w:r>
        <w:r w:rsidR="003B3AD7">
          <w:fldChar w:fldCharType="end"/>
        </w:r>
      </w:hyperlink>
    </w:p>
    <w:p w14:paraId="2D3A283F" w14:textId="77777777" w:rsidR="002A2422" w:rsidRDefault="006D122A">
      <w:pPr>
        <w:pStyle w:val="30"/>
        <w:tabs>
          <w:tab w:val="left" w:pos="1320"/>
          <w:tab w:val="right" w:leader="dot" w:pos="9350"/>
        </w:tabs>
        <w:rPr>
          <w:rFonts w:asciiTheme="minorHAnsi" w:eastAsiaTheme="minorEastAsia" w:hAnsiTheme="minorHAnsi" w:cstheme="minorBidi"/>
          <w:lang w:bidi="he-IL"/>
        </w:rPr>
      </w:pPr>
      <w:hyperlink w:anchor="_Toc73665472" w:history="1">
        <w:r w:rsidR="003B3AD7">
          <w:rPr>
            <w:rStyle w:val="-"/>
            <w:lang w:eastAsia="en-US"/>
          </w:rPr>
          <w:t>1.2.4</w:t>
        </w:r>
        <w:r w:rsidR="003B3AD7">
          <w:rPr>
            <w:rFonts w:asciiTheme="minorHAnsi" w:eastAsiaTheme="minorEastAsia" w:hAnsiTheme="minorHAnsi" w:cstheme="minorBidi"/>
            <w:lang w:bidi="he-IL"/>
          </w:rPr>
          <w:tab/>
        </w:r>
        <w:r w:rsidR="003B3AD7">
          <w:rPr>
            <w:rStyle w:val="-"/>
            <w:lang w:eastAsia="en-US"/>
          </w:rPr>
          <w:t>Ευρωπαϊκή Ατζέντα για τον Αθλητισμό</w:t>
        </w:r>
        <w:r w:rsidR="003B3AD7">
          <w:tab/>
        </w:r>
        <w:r w:rsidR="003B3AD7">
          <w:fldChar w:fldCharType="begin"/>
        </w:r>
        <w:r w:rsidR="003B3AD7">
          <w:instrText xml:space="preserve"> PAGEREF _Toc73665472 \h </w:instrText>
        </w:r>
        <w:r w:rsidR="003B3AD7">
          <w:fldChar w:fldCharType="separate"/>
        </w:r>
        <w:r w:rsidR="003B3AD7">
          <w:t>2</w:t>
        </w:r>
        <w:r w:rsidR="003B3AD7" w:rsidRPr="003B3AD7">
          <w:t>9</w:t>
        </w:r>
        <w:r w:rsidR="003B3AD7">
          <w:fldChar w:fldCharType="end"/>
        </w:r>
      </w:hyperlink>
    </w:p>
    <w:p w14:paraId="2B26B92D" w14:textId="77777777" w:rsidR="002A2422" w:rsidRDefault="006D122A">
      <w:pPr>
        <w:pStyle w:val="30"/>
        <w:tabs>
          <w:tab w:val="left" w:pos="1320"/>
          <w:tab w:val="right" w:leader="dot" w:pos="9350"/>
        </w:tabs>
        <w:rPr>
          <w:rFonts w:asciiTheme="minorHAnsi" w:eastAsiaTheme="minorEastAsia" w:hAnsiTheme="minorHAnsi" w:cstheme="minorBidi"/>
          <w:lang w:bidi="he-IL"/>
        </w:rPr>
      </w:pPr>
      <w:hyperlink w:anchor="_Toc73665473" w:history="1">
        <w:r w:rsidR="003B3AD7">
          <w:rPr>
            <w:rStyle w:val="-"/>
            <w:lang w:eastAsia="en-US"/>
          </w:rPr>
          <w:t>1.2.5</w:t>
        </w:r>
        <w:r w:rsidR="003B3AD7">
          <w:rPr>
            <w:rFonts w:asciiTheme="minorHAnsi" w:eastAsiaTheme="minorEastAsia" w:hAnsiTheme="minorHAnsi" w:cstheme="minorBidi"/>
            <w:lang w:bidi="he-IL"/>
          </w:rPr>
          <w:tab/>
        </w:r>
        <w:r w:rsidR="003B3AD7">
          <w:rPr>
            <w:rStyle w:val="-"/>
            <w:lang w:eastAsia="en-US"/>
          </w:rPr>
          <w:t>Εθνική Πολιτική και Στρατηγικές</w:t>
        </w:r>
        <w:r w:rsidR="003B3AD7">
          <w:tab/>
        </w:r>
        <w:r w:rsidR="003B3AD7">
          <w:fldChar w:fldCharType="begin"/>
        </w:r>
        <w:r w:rsidR="003B3AD7">
          <w:instrText xml:space="preserve"> PAGEREF _Toc73665473 \h </w:instrText>
        </w:r>
        <w:r w:rsidR="003B3AD7">
          <w:fldChar w:fldCharType="separate"/>
        </w:r>
        <w:r w:rsidR="003B3AD7">
          <w:t>3</w:t>
        </w:r>
        <w:r w:rsidR="003B3AD7" w:rsidRPr="003B3AD7">
          <w:t>4</w:t>
        </w:r>
        <w:r w:rsidR="003B3AD7">
          <w:fldChar w:fldCharType="end"/>
        </w:r>
      </w:hyperlink>
    </w:p>
    <w:p w14:paraId="079AC759" w14:textId="77777777" w:rsidR="002A2422" w:rsidRDefault="006D122A">
      <w:pPr>
        <w:pStyle w:val="30"/>
        <w:tabs>
          <w:tab w:val="left" w:pos="1320"/>
          <w:tab w:val="right" w:leader="dot" w:pos="9350"/>
        </w:tabs>
        <w:rPr>
          <w:rFonts w:asciiTheme="minorHAnsi" w:eastAsiaTheme="minorEastAsia" w:hAnsiTheme="minorHAnsi" w:cstheme="minorBidi"/>
          <w:lang w:bidi="he-IL"/>
        </w:rPr>
      </w:pPr>
      <w:hyperlink w:anchor="_Toc73665474" w:history="1">
        <w:r w:rsidR="003B3AD7">
          <w:rPr>
            <w:rStyle w:val="-"/>
            <w:lang w:eastAsia="en-US"/>
          </w:rPr>
          <w:t>1.2.6</w:t>
        </w:r>
        <w:r w:rsidR="003B3AD7">
          <w:rPr>
            <w:rFonts w:asciiTheme="minorHAnsi" w:eastAsiaTheme="minorEastAsia" w:hAnsiTheme="minorHAnsi" w:cstheme="minorBidi"/>
            <w:lang w:bidi="he-IL"/>
          </w:rPr>
          <w:tab/>
        </w:r>
        <w:r w:rsidR="003B3AD7">
          <w:rPr>
            <w:rStyle w:val="-"/>
            <w:lang w:eastAsia="en-US"/>
          </w:rPr>
          <w:t>Εθνικό Πρόγραμμα Ανάπτυξης (ΕΠΑ)</w:t>
        </w:r>
        <w:r w:rsidR="003B3AD7">
          <w:tab/>
        </w:r>
        <w:r w:rsidR="003B3AD7" w:rsidRPr="003B3AD7">
          <w:t>36</w:t>
        </w:r>
      </w:hyperlink>
    </w:p>
    <w:p w14:paraId="57DE4632" w14:textId="77777777" w:rsidR="002A2422" w:rsidRDefault="006D122A">
      <w:pPr>
        <w:pStyle w:val="20"/>
        <w:tabs>
          <w:tab w:val="left" w:pos="880"/>
          <w:tab w:val="right" w:leader="dot" w:pos="9350"/>
        </w:tabs>
        <w:rPr>
          <w:rFonts w:asciiTheme="minorHAnsi" w:eastAsiaTheme="minorEastAsia" w:hAnsiTheme="minorHAnsi" w:cstheme="minorBidi"/>
          <w:lang w:bidi="he-IL"/>
        </w:rPr>
      </w:pPr>
      <w:hyperlink w:anchor="_Toc73665475" w:history="1">
        <w:r w:rsidR="003B3AD7">
          <w:rPr>
            <w:rStyle w:val="-"/>
          </w:rPr>
          <w:t>1.3</w:t>
        </w:r>
        <w:r w:rsidR="003B3AD7">
          <w:rPr>
            <w:rFonts w:asciiTheme="minorHAnsi" w:eastAsiaTheme="minorEastAsia" w:hAnsiTheme="minorHAnsi" w:cstheme="minorBidi"/>
            <w:lang w:bidi="he-IL"/>
          </w:rPr>
          <w:tab/>
        </w:r>
        <w:r w:rsidR="003B3AD7">
          <w:rPr>
            <w:rStyle w:val="-"/>
          </w:rPr>
          <w:t>ΑΝΑΛΥΣΗ ΤΡΕΧΟΥΣΑΣ ΚΑΤΑΣΤΑΣΗΣ  ΑΝΑ ΤΟΜΕΑ ΠΑΡΕΜΒΑΣΗΣ - ΑΝΑΛΥΣΗ ΔΥΝΑΤΟΤΗΤΩΝ - ΑΔΥΝΑΜΙΩΝ - ΠΡΟΟΠΤΙΚΩΝ – ΑΠΕΙΛΩΝ ΑΝΑ ΤΟΜΕΑ ΠΑΡΕΜΒΑΣΗΣ (SWOT ANALYSIS)</w:t>
        </w:r>
        <w:r w:rsidR="003B3AD7">
          <w:tab/>
        </w:r>
        <w:r w:rsidR="003B3AD7">
          <w:fldChar w:fldCharType="begin"/>
        </w:r>
        <w:r w:rsidR="003B3AD7">
          <w:instrText xml:space="preserve"> PAGEREF _Toc73665475 \h </w:instrText>
        </w:r>
        <w:r w:rsidR="003B3AD7">
          <w:fldChar w:fldCharType="separate"/>
        </w:r>
        <w:r w:rsidR="003B3AD7">
          <w:t>4</w:t>
        </w:r>
        <w:r w:rsidR="003B3AD7" w:rsidRPr="003B3AD7">
          <w:t>7</w:t>
        </w:r>
        <w:r w:rsidR="003B3AD7">
          <w:fldChar w:fldCharType="end"/>
        </w:r>
      </w:hyperlink>
    </w:p>
    <w:p w14:paraId="0537D418" w14:textId="77777777" w:rsidR="002A2422" w:rsidRDefault="006D122A">
      <w:pPr>
        <w:pStyle w:val="20"/>
        <w:tabs>
          <w:tab w:val="left" w:pos="880"/>
          <w:tab w:val="right" w:leader="dot" w:pos="9350"/>
        </w:tabs>
        <w:rPr>
          <w:rFonts w:asciiTheme="minorHAnsi" w:eastAsiaTheme="minorEastAsia" w:hAnsiTheme="minorHAnsi" w:cstheme="minorBidi"/>
          <w:lang w:bidi="he-IL"/>
        </w:rPr>
      </w:pPr>
      <w:hyperlink w:anchor="_Toc73665476" w:history="1">
        <w:r w:rsidR="003B3AD7">
          <w:rPr>
            <w:rStyle w:val="-"/>
          </w:rPr>
          <w:t>1.4</w:t>
        </w:r>
        <w:r w:rsidR="003B3AD7">
          <w:rPr>
            <w:rFonts w:asciiTheme="minorHAnsi" w:eastAsiaTheme="minorEastAsia" w:hAnsiTheme="minorHAnsi" w:cstheme="minorBidi"/>
            <w:lang w:bidi="he-IL"/>
          </w:rPr>
          <w:tab/>
        </w:r>
        <w:r w:rsidR="003B3AD7">
          <w:rPr>
            <w:rStyle w:val="-"/>
          </w:rPr>
          <w:t>ΑΠΟΤΙΜΗΣΗ  ΑΝΑΜΕΝΟΜΕΝΩΝ ΑΠΟΤΕΛΕΣΜΑΤΩΝ ΑΠΟ ΗΔΗ ΥΛΟΠΟΙΟΥΜΕΝΑ ΚΑΙ ΣΕ ΕΞΕΛΙΞΗ ΕΡΓΑ (ΕΘΝΙΚΟΥ &amp; ΣΥΓΧΡΗΜΑΤΟΔΟΤΟΥΜΕΝΟΥ ΣΚΕΛΟΥΣ) ΑΝΑ ΤΟΜΕΑ ΠΑΡΕΜΒΑΣΗΣ</w:t>
        </w:r>
        <w:r w:rsidR="003B3AD7">
          <w:tab/>
        </w:r>
        <w:r w:rsidR="003B3AD7">
          <w:fldChar w:fldCharType="begin"/>
        </w:r>
        <w:r w:rsidR="003B3AD7">
          <w:instrText xml:space="preserve"> PAGEREF _Toc73665476 \h </w:instrText>
        </w:r>
        <w:r w:rsidR="003B3AD7">
          <w:fldChar w:fldCharType="separate"/>
        </w:r>
        <w:r w:rsidR="003B3AD7">
          <w:t>6</w:t>
        </w:r>
        <w:r w:rsidR="003B3AD7" w:rsidRPr="003B3AD7">
          <w:t>8</w:t>
        </w:r>
        <w:r w:rsidR="003B3AD7">
          <w:fldChar w:fldCharType="end"/>
        </w:r>
      </w:hyperlink>
    </w:p>
    <w:p w14:paraId="49D04DB9" w14:textId="77777777" w:rsidR="002A2422" w:rsidRDefault="006D122A">
      <w:pPr>
        <w:pStyle w:val="30"/>
        <w:tabs>
          <w:tab w:val="left" w:pos="1320"/>
          <w:tab w:val="right" w:leader="dot" w:pos="9350"/>
        </w:tabs>
        <w:rPr>
          <w:rFonts w:asciiTheme="minorHAnsi" w:eastAsiaTheme="minorEastAsia" w:hAnsiTheme="minorHAnsi" w:cstheme="minorBidi"/>
          <w:lang w:bidi="he-IL"/>
        </w:rPr>
      </w:pPr>
      <w:hyperlink w:anchor="_Toc73665477" w:history="1">
        <w:r w:rsidR="003B3AD7">
          <w:rPr>
            <w:rStyle w:val="-"/>
          </w:rPr>
          <w:t>1.4.1</w:t>
        </w:r>
        <w:r w:rsidR="003B3AD7">
          <w:rPr>
            <w:rFonts w:asciiTheme="minorHAnsi" w:eastAsiaTheme="minorEastAsia" w:hAnsiTheme="minorHAnsi" w:cstheme="minorBidi"/>
            <w:lang w:bidi="he-IL"/>
          </w:rPr>
          <w:tab/>
        </w:r>
        <w:r w:rsidR="003B3AD7">
          <w:rPr>
            <w:rStyle w:val="-"/>
          </w:rPr>
          <w:t>Εθνικό Πρόγραμμα Δημοσίων Επενδύσεων</w:t>
        </w:r>
        <w:r w:rsidR="003B3AD7">
          <w:tab/>
        </w:r>
        <w:r w:rsidR="003B3AD7">
          <w:fldChar w:fldCharType="begin"/>
        </w:r>
        <w:r w:rsidR="003B3AD7">
          <w:instrText xml:space="preserve"> PAGEREF _Toc73665477 \h </w:instrText>
        </w:r>
        <w:r w:rsidR="003B3AD7">
          <w:fldChar w:fldCharType="separate"/>
        </w:r>
        <w:r w:rsidR="003B3AD7">
          <w:t>6</w:t>
        </w:r>
        <w:r w:rsidR="003B3AD7" w:rsidRPr="003B3AD7">
          <w:t>9</w:t>
        </w:r>
        <w:r w:rsidR="003B3AD7">
          <w:fldChar w:fldCharType="end"/>
        </w:r>
      </w:hyperlink>
    </w:p>
    <w:p w14:paraId="5742841A" w14:textId="77777777" w:rsidR="002A2422" w:rsidRDefault="006D122A">
      <w:pPr>
        <w:pStyle w:val="30"/>
        <w:tabs>
          <w:tab w:val="left" w:pos="1320"/>
          <w:tab w:val="right" w:leader="dot" w:pos="9350"/>
        </w:tabs>
        <w:rPr>
          <w:rFonts w:asciiTheme="minorHAnsi" w:eastAsiaTheme="minorEastAsia" w:hAnsiTheme="minorHAnsi" w:cstheme="minorBidi"/>
          <w:lang w:bidi="he-IL"/>
        </w:rPr>
      </w:pPr>
      <w:hyperlink w:anchor="_Toc73665478" w:history="1">
        <w:r w:rsidR="003B3AD7">
          <w:rPr>
            <w:rStyle w:val="-"/>
          </w:rPr>
          <w:t>1.4.2</w:t>
        </w:r>
        <w:r w:rsidR="003B3AD7">
          <w:rPr>
            <w:rFonts w:asciiTheme="minorHAnsi" w:eastAsiaTheme="minorEastAsia" w:hAnsiTheme="minorHAnsi" w:cstheme="minorBidi"/>
            <w:lang w:bidi="he-IL"/>
          </w:rPr>
          <w:tab/>
        </w:r>
        <w:proofErr w:type="spellStart"/>
        <w:r w:rsidR="003B3AD7">
          <w:rPr>
            <w:rStyle w:val="-"/>
          </w:rPr>
          <w:t>Συγχρηματοδούμενο</w:t>
        </w:r>
        <w:proofErr w:type="spellEnd"/>
        <w:r w:rsidR="003B3AD7">
          <w:rPr>
            <w:rStyle w:val="-"/>
          </w:rPr>
          <w:t xml:space="preserve"> Πρόγραμμα Δημοσίων Επενδύσεων</w:t>
        </w:r>
        <w:r w:rsidR="003B3AD7">
          <w:tab/>
        </w:r>
        <w:r w:rsidR="003B3AD7" w:rsidRPr="003B3AD7">
          <w:t>72</w:t>
        </w:r>
      </w:hyperlink>
    </w:p>
    <w:p w14:paraId="2DD2C7BE" w14:textId="77777777" w:rsidR="002A2422" w:rsidRDefault="006D122A">
      <w:pPr>
        <w:pStyle w:val="10"/>
        <w:rPr>
          <w:rFonts w:asciiTheme="minorHAnsi" w:eastAsiaTheme="minorEastAsia" w:hAnsiTheme="minorHAnsi" w:cstheme="minorBidi"/>
          <w:lang w:bidi="he-IL"/>
        </w:rPr>
      </w:pPr>
      <w:hyperlink w:anchor="_Toc73665479" w:history="1">
        <w:r w:rsidR="003B3AD7">
          <w:rPr>
            <w:rStyle w:val="-"/>
          </w:rPr>
          <w:t>Ενταγμένα Έργα ΕΣΠΑ 2014 – 2020 και προγράμματα εδαφικής συνεργασίας</w:t>
        </w:r>
        <w:r w:rsidR="003B3AD7">
          <w:tab/>
        </w:r>
        <w:r w:rsidR="003B3AD7" w:rsidRPr="003B3AD7">
          <w:t>72</w:t>
        </w:r>
      </w:hyperlink>
    </w:p>
    <w:p w14:paraId="0A4585E4" w14:textId="77777777" w:rsidR="002A2422" w:rsidRDefault="006D122A">
      <w:pPr>
        <w:pStyle w:val="30"/>
        <w:tabs>
          <w:tab w:val="left" w:pos="1320"/>
          <w:tab w:val="right" w:leader="dot" w:pos="9350"/>
        </w:tabs>
        <w:rPr>
          <w:rFonts w:asciiTheme="minorHAnsi" w:eastAsiaTheme="minorEastAsia" w:hAnsiTheme="minorHAnsi" w:cstheme="minorBidi"/>
          <w:lang w:bidi="he-IL"/>
        </w:rPr>
      </w:pPr>
      <w:hyperlink w:anchor="_Toc73665480" w:history="1">
        <w:r w:rsidR="003B3AD7">
          <w:rPr>
            <w:rStyle w:val="-"/>
          </w:rPr>
          <w:t>1.4.3</w:t>
        </w:r>
        <w:r w:rsidR="003B3AD7">
          <w:rPr>
            <w:rFonts w:asciiTheme="minorHAnsi" w:eastAsiaTheme="minorEastAsia" w:hAnsiTheme="minorHAnsi" w:cstheme="minorBidi"/>
            <w:lang w:bidi="he-IL"/>
          </w:rPr>
          <w:tab/>
        </w:r>
        <w:r w:rsidR="003B3AD7">
          <w:rPr>
            <w:rStyle w:val="-"/>
          </w:rPr>
          <w:t>Περιφερειακή Κατανομή Πράξεων στον Τομέα του Πολιτισμού</w:t>
        </w:r>
        <w:r w:rsidR="003B3AD7">
          <w:tab/>
        </w:r>
        <w:r w:rsidR="003B3AD7" w:rsidRPr="003B3AD7">
          <w:t>77</w:t>
        </w:r>
      </w:hyperlink>
    </w:p>
    <w:p w14:paraId="282E2258" w14:textId="77777777" w:rsidR="002A2422" w:rsidRDefault="006D122A">
      <w:pPr>
        <w:pStyle w:val="30"/>
        <w:tabs>
          <w:tab w:val="left" w:pos="1320"/>
          <w:tab w:val="right" w:leader="dot" w:pos="9350"/>
        </w:tabs>
        <w:rPr>
          <w:rFonts w:asciiTheme="minorHAnsi" w:eastAsiaTheme="minorEastAsia" w:hAnsiTheme="minorHAnsi" w:cstheme="minorBidi"/>
          <w:lang w:bidi="he-IL"/>
        </w:rPr>
      </w:pPr>
      <w:hyperlink w:anchor="_Toc73665481" w:history="1">
        <w:r w:rsidR="003B3AD7">
          <w:rPr>
            <w:rStyle w:val="-"/>
          </w:rPr>
          <w:t>1.4.4</w:t>
        </w:r>
        <w:r w:rsidR="003B3AD7">
          <w:rPr>
            <w:rFonts w:asciiTheme="minorHAnsi" w:eastAsiaTheme="minorEastAsia" w:hAnsiTheme="minorHAnsi" w:cstheme="minorBidi"/>
            <w:lang w:bidi="he-IL"/>
          </w:rPr>
          <w:tab/>
        </w:r>
        <w:r w:rsidR="003B3AD7">
          <w:rPr>
            <w:rStyle w:val="-"/>
          </w:rPr>
          <w:t>Συμπεράσματα</w:t>
        </w:r>
        <w:r w:rsidR="003B3AD7">
          <w:tab/>
        </w:r>
        <w:r w:rsidR="003B3AD7" w:rsidRPr="003B3AD7">
          <w:t>86</w:t>
        </w:r>
      </w:hyperlink>
    </w:p>
    <w:p w14:paraId="0CE84B62" w14:textId="77777777" w:rsidR="002A2422" w:rsidRDefault="006D122A">
      <w:pPr>
        <w:pStyle w:val="30"/>
        <w:tabs>
          <w:tab w:val="left" w:pos="1320"/>
          <w:tab w:val="right" w:leader="dot" w:pos="9350"/>
        </w:tabs>
        <w:rPr>
          <w:rFonts w:asciiTheme="minorHAnsi" w:eastAsiaTheme="minorEastAsia" w:hAnsiTheme="minorHAnsi" w:cstheme="minorBidi"/>
          <w:lang w:bidi="he-IL"/>
        </w:rPr>
      </w:pPr>
      <w:hyperlink w:anchor="_Toc73665482" w:history="1">
        <w:r w:rsidR="003B3AD7">
          <w:rPr>
            <w:rStyle w:val="-"/>
          </w:rPr>
          <w:t>1.4.5</w:t>
        </w:r>
        <w:r w:rsidR="003B3AD7">
          <w:rPr>
            <w:rFonts w:asciiTheme="minorHAnsi" w:eastAsiaTheme="minorEastAsia" w:hAnsiTheme="minorHAnsi" w:cstheme="minorBidi"/>
            <w:lang w:bidi="he-IL"/>
          </w:rPr>
          <w:tab/>
        </w:r>
        <w:r w:rsidR="003B3AD7">
          <w:rPr>
            <w:rStyle w:val="-"/>
          </w:rPr>
          <w:t>Τομέας Αθλητισμού</w:t>
        </w:r>
        <w:r w:rsidR="003B3AD7">
          <w:tab/>
        </w:r>
        <w:r w:rsidR="003B3AD7" w:rsidRPr="003B3AD7">
          <w:t>88</w:t>
        </w:r>
      </w:hyperlink>
    </w:p>
    <w:p w14:paraId="46A0B808" w14:textId="77777777" w:rsidR="002A2422" w:rsidRDefault="006D122A">
      <w:pPr>
        <w:pStyle w:val="10"/>
        <w:tabs>
          <w:tab w:val="left" w:pos="440"/>
        </w:tabs>
        <w:rPr>
          <w:rFonts w:asciiTheme="minorHAnsi" w:eastAsiaTheme="minorEastAsia" w:hAnsiTheme="minorHAnsi" w:cstheme="minorBidi"/>
          <w:lang w:bidi="he-IL"/>
        </w:rPr>
      </w:pPr>
      <w:hyperlink w:anchor="_Toc73665483" w:history="1">
        <w:r w:rsidR="003B3AD7">
          <w:rPr>
            <w:rStyle w:val="-"/>
          </w:rPr>
          <w:t>2</w:t>
        </w:r>
        <w:r w:rsidR="003B3AD7">
          <w:rPr>
            <w:rFonts w:asciiTheme="minorHAnsi" w:eastAsiaTheme="minorEastAsia" w:hAnsiTheme="minorHAnsi" w:cstheme="minorBidi"/>
            <w:lang w:bidi="he-IL"/>
          </w:rPr>
          <w:tab/>
        </w:r>
        <w:r w:rsidR="003B3AD7">
          <w:rPr>
            <w:rStyle w:val="-"/>
          </w:rPr>
          <w:t>Η ΑΝΑΠΤΥΞΙΑΚΗ ΣΤΡΑΤΗΓΙΚΗ ΓΙΑ ΤΗΝ ΠΕΡΙΟΔΟ 2021-2025</w:t>
        </w:r>
        <w:r w:rsidR="003B3AD7">
          <w:tab/>
        </w:r>
        <w:r w:rsidR="003B3AD7" w:rsidRPr="003B3AD7">
          <w:t>90</w:t>
        </w:r>
      </w:hyperlink>
    </w:p>
    <w:p w14:paraId="1EC0E50C" w14:textId="77777777" w:rsidR="002A2422" w:rsidRDefault="006D122A">
      <w:pPr>
        <w:pStyle w:val="20"/>
        <w:tabs>
          <w:tab w:val="left" w:pos="880"/>
          <w:tab w:val="right" w:leader="dot" w:pos="9350"/>
        </w:tabs>
        <w:rPr>
          <w:rFonts w:asciiTheme="minorHAnsi" w:eastAsiaTheme="minorEastAsia" w:hAnsiTheme="minorHAnsi" w:cstheme="minorBidi"/>
          <w:lang w:bidi="he-IL"/>
        </w:rPr>
      </w:pPr>
      <w:hyperlink w:anchor="_Toc73665484" w:history="1">
        <w:r w:rsidR="003B3AD7">
          <w:rPr>
            <w:rStyle w:val="-"/>
          </w:rPr>
          <w:t>2.1</w:t>
        </w:r>
        <w:r w:rsidR="003B3AD7">
          <w:rPr>
            <w:rFonts w:asciiTheme="minorHAnsi" w:eastAsiaTheme="minorEastAsia" w:hAnsiTheme="minorHAnsi" w:cstheme="minorBidi"/>
            <w:lang w:bidi="he-IL"/>
          </w:rPr>
          <w:tab/>
        </w:r>
        <w:r w:rsidR="003B3AD7">
          <w:rPr>
            <w:rStyle w:val="-"/>
          </w:rPr>
          <w:t>Ανάλυση Στρατηγικής ΥΠΠΟΑ 2021 – 2025</w:t>
        </w:r>
        <w:r w:rsidR="003B3AD7">
          <w:tab/>
        </w:r>
        <w:r w:rsidR="003B3AD7" w:rsidRPr="003B3AD7">
          <w:t>90</w:t>
        </w:r>
      </w:hyperlink>
    </w:p>
    <w:p w14:paraId="691FC48A" w14:textId="77777777" w:rsidR="002A2422" w:rsidRDefault="006D122A">
      <w:pPr>
        <w:pStyle w:val="20"/>
        <w:tabs>
          <w:tab w:val="left" w:pos="880"/>
          <w:tab w:val="right" w:leader="dot" w:pos="9350"/>
        </w:tabs>
        <w:rPr>
          <w:rFonts w:asciiTheme="minorHAnsi" w:eastAsiaTheme="minorEastAsia" w:hAnsiTheme="minorHAnsi" w:cstheme="minorBidi"/>
          <w:lang w:bidi="he-IL"/>
        </w:rPr>
      </w:pPr>
      <w:hyperlink w:anchor="_Toc73665485" w:history="1">
        <w:r w:rsidR="003B3AD7">
          <w:rPr>
            <w:rStyle w:val="-"/>
          </w:rPr>
          <w:t>2.2</w:t>
        </w:r>
        <w:r w:rsidR="003B3AD7">
          <w:rPr>
            <w:rFonts w:asciiTheme="minorHAnsi" w:eastAsiaTheme="minorEastAsia" w:hAnsiTheme="minorHAnsi" w:cstheme="minorBidi"/>
            <w:lang w:bidi="he-IL"/>
          </w:rPr>
          <w:tab/>
        </w:r>
        <w:r w:rsidR="003B3AD7">
          <w:rPr>
            <w:rStyle w:val="-"/>
          </w:rPr>
          <w:t>Προσδιορισμός και ιεράρχηση αναπτυξιακών στόχων στον τομέα του Πολιτισμού</w:t>
        </w:r>
        <w:r w:rsidR="003B3AD7">
          <w:tab/>
        </w:r>
        <w:r w:rsidR="003B3AD7" w:rsidRPr="003B3AD7">
          <w:t>94</w:t>
        </w:r>
      </w:hyperlink>
    </w:p>
    <w:p w14:paraId="02C3D168" w14:textId="77777777" w:rsidR="002A2422" w:rsidRDefault="006D122A">
      <w:pPr>
        <w:pStyle w:val="20"/>
        <w:tabs>
          <w:tab w:val="left" w:pos="880"/>
          <w:tab w:val="right" w:leader="dot" w:pos="9350"/>
        </w:tabs>
        <w:rPr>
          <w:rFonts w:asciiTheme="minorHAnsi" w:eastAsiaTheme="minorEastAsia" w:hAnsiTheme="minorHAnsi" w:cstheme="minorBidi"/>
          <w:lang w:bidi="he-IL"/>
        </w:rPr>
      </w:pPr>
      <w:hyperlink w:anchor="_Toc73665486" w:history="1">
        <w:r w:rsidR="003B3AD7">
          <w:rPr>
            <w:rStyle w:val="-"/>
          </w:rPr>
          <w:t>2.3</w:t>
        </w:r>
        <w:r w:rsidR="003B3AD7">
          <w:rPr>
            <w:rFonts w:asciiTheme="minorHAnsi" w:eastAsiaTheme="minorEastAsia" w:hAnsiTheme="minorHAnsi" w:cstheme="minorBidi"/>
            <w:lang w:bidi="he-IL"/>
          </w:rPr>
          <w:tab/>
        </w:r>
        <w:r w:rsidR="003B3AD7">
          <w:rPr>
            <w:rStyle w:val="-"/>
          </w:rPr>
          <w:t>Αντιστοίχιση με Αναπτυξιακούς Στόχους ΕΠΑ</w:t>
        </w:r>
        <w:r w:rsidR="003B3AD7">
          <w:tab/>
        </w:r>
        <w:r w:rsidR="003B3AD7" w:rsidRPr="003B3AD7">
          <w:t>95</w:t>
        </w:r>
      </w:hyperlink>
    </w:p>
    <w:p w14:paraId="2D452C25" w14:textId="77777777" w:rsidR="002A2422" w:rsidRDefault="006D122A">
      <w:pPr>
        <w:pStyle w:val="30"/>
        <w:tabs>
          <w:tab w:val="left" w:pos="1320"/>
          <w:tab w:val="right" w:leader="dot" w:pos="9350"/>
        </w:tabs>
        <w:rPr>
          <w:rFonts w:asciiTheme="minorHAnsi" w:eastAsiaTheme="minorEastAsia" w:hAnsiTheme="minorHAnsi" w:cstheme="minorBidi"/>
          <w:lang w:bidi="he-IL"/>
        </w:rPr>
      </w:pPr>
      <w:hyperlink w:anchor="_Toc73665487" w:history="1">
        <w:r w:rsidR="003B3AD7">
          <w:rPr>
            <w:rStyle w:val="-"/>
          </w:rPr>
          <w:t>2.3.1</w:t>
        </w:r>
        <w:r w:rsidR="003B3AD7">
          <w:rPr>
            <w:rFonts w:asciiTheme="minorHAnsi" w:eastAsiaTheme="minorEastAsia" w:hAnsiTheme="minorHAnsi" w:cstheme="minorBidi"/>
            <w:lang w:bidi="he-IL"/>
          </w:rPr>
          <w:tab/>
        </w:r>
        <w:r w:rsidR="003B3AD7">
          <w:rPr>
            <w:rStyle w:val="-"/>
          </w:rPr>
          <w:t>ΥΠΟΠΡΟΓΡΑΜΜΑ ΠΟΛΙΤΙΣΤΙΚΉ ΚΛΗΡΟΝΟΜΙΑ</w:t>
        </w:r>
        <w:r w:rsidR="003B3AD7">
          <w:tab/>
        </w:r>
        <w:r w:rsidR="003B3AD7" w:rsidRPr="003B3AD7">
          <w:t>95</w:t>
        </w:r>
      </w:hyperlink>
    </w:p>
    <w:p w14:paraId="51BB451C" w14:textId="77777777" w:rsidR="002A2422" w:rsidRDefault="006D122A">
      <w:pPr>
        <w:pStyle w:val="30"/>
        <w:tabs>
          <w:tab w:val="left" w:pos="1320"/>
          <w:tab w:val="right" w:leader="dot" w:pos="9350"/>
        </w:tabs>
        <w:rPr>
          <w:rFonts w:asciiTheme="minorHAnsi" w:eastAsiaTheme="minorEastAsia" w:hAnsiTheme="minorHAnsi" w:cstheme="minorBidi"/>
          <w:lang w:bidi="he-IL"/>
        </w:rPr>
      </w:pPr>
      <w:hyperlink w:anchor="_Toc73665488" w:history="1">
        <w:r w:rsidR="003B3AD7">
          <w:rPr>
            <w:rStyle w:val="-"/>
          </w:rPr>
          <w:t>2.3.2</w:t>
        </w:r>
        <w:r w:rsidR="003B3AD7">
          <w:rPr>
            <w:rFonts w:asciiTheme="minorHAnsi" w:eastAsiaTheme="minorEastAsia" w:hAnsiTheme="minorHAnsi" w:cstheme="minorBidi"/>
            <w:lang w:bidi="he-IL"/>
          </w:rPr>
          <w:tab/>
        </w:r>
        <w:r w:rsidR="003B3AD7">
          <w:rPr>
            <w:rStyle w:val="-"/>
          </w:rPr>
          <w:t>ΥΠΟΠΡΟΓΡΑΜΜΑ Β’ ΣΥΓΧΡΟΝΟΣ ΠΟΛΙΤΙΣΜΟΣ</w:t>
        </w:r>
        <w:r w:rsidR="003B3AD7">
          <w:tab/>
        </w:r>
        <w:r w:rsidR="003B3AD7" w:rsidRPr="003B3AD7">
          <w:t>99</w:t>
        </w:r>
      </w:hyperlink>
    </w:p>
    <w:p w14:paraId="18572076" w14:textId="77777777" w:rsidR="002A2422" w:rsidRDefault="006D122A">
      <w:pPr>
        <w:pStyle w:val="30"/>
        <w:tabs>
          <w:tab w:val="left" w:pos="1320"/>
          <w:tab w:val="right" w:leader="dot" w:pos="9350"/>
        </w:tabs>
        <w:rPr>
          <w:rFonts w:asciiTheme="minorHAnsi" w:eastAsiaTheme="minorEastAsia" w:hAnsiTheme="minorHAnsi" w:cstheme="minorBidi"/>
          <w:lang w:bidi="he-IL"/>
        </w:rPr>
      </w:pPr>
      <w:hyperlink w:anchor="_Toc73665489" w:history="1">
        <w:r w:rsidR="003B3AD7">
          <w:rPr>
            <w:rStyle w:val="-"/>
          </w:rPr>
          <w:t>2.3.3</w:t>
        </w:r>
        <w:r w:rsidR="003B3AD7">
          <w:rPr>
            <w:rFonts w:asciiTheme="minorHAnsi" w:eastAsiaTheme="minorEastAsia" w:hAnsiTheme="minorHAnsi" w:cstheme="minorBidi"/>
            <w:lang w:bidi="he-IL"/>
          </w:rPr>
          <w:tab/>
        </w:r>
        <w:r w:rsidR="003B3AD7">
          <w:rPr>
            <w:rStyle w:val="-"/>
          </w:rPr>
          <w:t>ΥΠΟΠΡΟΓΡΑΜΜΑ Γ΄’ ΑΘΛΗΤΙΣΜΟΣ</w:t>
        </w:r>
        <w:r w:rsidR="003B3AD7">
          <w:tab/>
        </w:r>
        <w:r w:rsidR="003B3AD7">
          <w:fldChar w:fldCharType="begin"/>
        </w:r>
        <w:r w:rsidR="003B3AD7">
          <w:instrText xml:space="preserve"> PAGEREF _Toc73665489 \h </w:instrText>
        </w:r>
        <w:r w:rsidR="003B3AD7">
          <w:fldChar w:fldCharType="separate"/>
        </w:r>
        <w:r w:rsidR="003B3AD7">
          <w:t>94</w:t>
        </w:r>
        <w:r w:rsidR="003B3AD7">
          <w:fldChar w:fldCharType="end"/>
        </w:r>
      </w:hyperlink>
    </w:p>
    <w:p w14:paraId="618507D0" w14:textId="77777777" w:rsidR="002A2422" w:rsidRDefault="006D122A">
      <w:pPr>
        <w:pStyle w:val="30"/>
        <w:tabs>
          <w:tab w:val="left" w:pos="1320"/>
          <w:tab w:val="right" w:leader="dot" w:pos="9350"/>
        </w:tabs>
        <w:rPr>
          <w:rFonts w:asciiTheme="minorHAnsi" w:eastAsiaTheme="minorEastAsia" w:hAnsiTheme="minorHAnsi" w:cstheme="minorBidi"/>
          <w:lang w:bidi="he-IL"/>
        </w:rPr>
      </w:pPr>
      <w:hyperlink w:anchor="_Toc73665490" w:history="1">
        <w:r w:rsidR="003B3AD7">
          <w:rPr>
            <w:rStyle w:val="-"/>
          </w:rPr>
          <w:t>2.3.4</w:t>
        </w:r>
        <w:r w:rsidR="003B3AD7">
          <w:rPr>
            <w:rFonts w:asciiTheme="minorHAnsi" w:eastAsiaTheme="minorEastAsia" w:hAnsiTheme="minorHAnsi" w:cstheme="minorBidi"/>
            <w:lang w:bidi="he-IL"/>
          </w:rPr>
          <w:tab/>
        </w:r>
        <w:r w:rsidR="003B3AD7">
          <w:rPr>
            <w:rStyle w:val="-"/>
          </w:rPr>
          <w:t>ΤΕΧΝΙΚΗ ΒΟΗΘΕΙΑ</w:t>
        </w:r>
        <w:r w:rsidR="003B3AD7">
          <w:tab/>
        </w:r>
        <w:r w:rsidR="003B3AD7" w:rsidRPr="003B3AD7">
          <w:t>103</w:t>
        </w:r>
      </w:hyperlink>
    </w:p>
    <w:p w14:paraId="47899233" w14:textId="77777777" w:rsidR="002A2422" w:rsidRDefault="006D122A">
      <w:pPr>
        <w:pStyle w:val="10"/>
        <w:tabs>
          <w:tab w:val="left" w:pos="440"/>
        </w:tabs>
        <w:rPr>
          <w:rFonts w:asciiTheme="minorHAnsi" w:eastAsiaTheme="minorEastAsia" w:hAnsiTheme="minorHAnsi" w:cstheme="minorBidi"/>
          <w:lang w:bidi="he-IL"/>
        </w:rPr>
      </w:pPr>
      <w:hyperlink w:anchor="_Toc73665491" w:history="1">
        <w:r w:rsidR="003B3AD7">
          <w:rPr>
            <w:rStyle w:val="-"/>
          </w:rPr>
          <w:t>3</w:t>
        </w:r>
        <w:r w:rsidR="003B3AD7">
          <w:rPr>
            <w:rFonts w:asciiTheme="minorHAnsi" w:eastAsiaTheme="minorEastAsia" w:hAnsiTheme="minorHAnsi" w:cstheme="minorBidi"/>
            <w:lang w:bidi="he-IL"/>
          </w:rPr>
          <w:tab/>
        </w:r>
        <w:r w:rsidR="003B3AD7">
          <w:rPr>
            <w:rStyle w:val="-"/>
          </w:rPr>
          <w:t>Προϋπολογισμός Προγράμματος</w:t>
        </w:r>
        <w:r w:rsidR="003B3AD7">
          <w:tab/>
        </w:r>
        <w:r w:rsidR="003B3AD7" w:rsidRPr="003B3AD7">
          <w:t>104</w:t>
        </w:r>
      </w:hyperlink>
    </w:p>
    <w:p w14:paraId="03BA8DFD" w14:textId="77777777" w:rsidR="002A2422" w:rsidRDefault="006D122A">
      <w:pPr>
        <w:pStyle w:val="10"/>
        <w:tabs>
          <w:tab w:val="left" w:pos="440"/>
        </w:tabs>
        <w:rPr>
          <w:rFonts w:asciiTheme="minorHAnsi" w:eastAsiaTheme="minorEastAsia" w:hAnsiTheme="minorHAnsi" w:cstheme="minorBidi"/>
          <w:lang w:bidi="he-IL"/>
        </w:rPr>
      </w:pPr>
      <w:hyperlink w:anchor="_Toc73665492" w:history="1">
        <w:r w:rsidR="003B3AD7">
          <w:rPr>
            <w:rStyle w:val="-"/>
          </w:rPr>
          <w:t>4</w:t>
        </w:r>
        <w:r w:rsidR="003B3AD7">
          <w:rPr>
            <w:rFonts w:asciiTheme="minorHAnsi" w:eastAsiaTheme="minorEastAsia" w:hAnsiTheme="minorHAnsi" w:cstheme="minorBidi"/>
            <w:lang w:bidi="he-IL"/>
          </w:rPr>
          <w:tab/>
        </w:r>
        <w:r w:rsidR="003B3AD7">
          <w:rPr>
            <w:rStyle w:val="-"/>
          </w:rPr>
          <w:t>Συμβολή του ΤΠΑ στην εφαρμογή δημόσιων πολιτικών</w:t>
        </w:r>
        <w:r w:rsidR="003B3AD7">
          <w:tab/>
        </w:r>
        <w:r w:rsidR="003B3AD7" w:rsidRPr="003B3AD7">
          <w:t>106</w:t>
        </w:r>
      </w:hyperlink>
    </w:p>
    <w:p w14:paraId="26E5E61F" w14:textId="77777777" w:rsidR="002A2422" w:rsidRDefault="006D122A">
      <w:pPr>
        <w:pStyle w:val="10"/>
        <w:tabs>
          <w:tab w:val="left" w:pos="440"/>
        </w:tabs>
        <w:rPr>
          <w:rFonts w:asciiTheme="minorHAnsi" w:eastAsiaTheme="minorEastAsia" w:hAnsiTheme="minorHAnsi" w:cstheme="minorBidi"/>
          <w:lang w:bidi="he-IL"/>
        </w:rPr>
      </w:pPr>
      <w:hyperlink w:anchor="_Toc73665493" w:history="1">
        <w:r w:rsidR="003B3AD7">
          <w:rPr>
            <w:rStyle w:val="-"/>
          </w:rPr>
          <w:t>5</w:t>
        </w:r>
        <w:r w:rsidR="003B3AD7">
          <w:rPr>
            <w:rFonts w:asciiTheme="minorHAnsi" w:eastAsiaTheme="minorEastAsia" w:hAnsiTheme="minorHAnsi" w:cstheme="minorBidi"/>
            <w:lang w:bidi="he-IL"/>
          </w:rPr>
          <w:tab/>
        </w:r>
        <w:r w:rsidR="003B3AD7">
          <w:rPr>
            <w:rStyle w:val="-"/>
          </w:rPr>
          <w:t>Οριζόντιες Αρχές</w:t>
        </w:r>
        <w:r w:rsidR="003B3AD7">
          <w:tab/>
        </w:r>
        <w:r w:rsidR="003B3AD7" w:rsidRPr="003B3AD7">
          <w:t>107</w:t>
        </w:r>
      </w:hyperlink>
    </w:p>
    <w:p w14:paraId="5CBA0A7A" w14:textId="77777777" w:rsidR="002A2422" w:rsidRDefault="006D122A">
      <w:pPr>
        <w:pStyle w:val="10"/>
        <w:tabs>
          <w:tab w:val="left" w:pos="440"/>
        </w:tabs>
        <w:rPr>
          <w:rFonts w:asciiTheme="minorHAnsi" w:eastAsiaTheme="minorEastAsia" w:hAnsiTheme="minorHAnsi" w:cstheme="minorBidi"/>
          <w:lang w:bidi="he-IL"/>
        </w:rPr>
      </w:pPr>
      <w:hyperlink w:anchor="_Toc73665494" w:history="1">
        <w:r w:rsidR="003B3AD7">
          <w:rPr>
            <w:rStyle w:val="-"/>
          </w:rPr>
          <w:t>6</w:t>
        </w:r>
        <w:r w:rsidR="003B3AD7">
          <w:rPr>
            <w:rFonts w:asciiTheme="minorHAnsi" w:eastAsiaTheme="minorEastAsia" w:hAnsiTheme="minorHAnsi" w:cstheme="minorBidi"/>
            <w:lang w:bidi="he-IL"/>
          </w:rPr>
          <w:tab/>
        </w:r>
        <w:r w:rsidR="003B3AD7">
          <w:rPr>
            <w:rStyle w:val="-"/>
            <w:rFonts w:eastAsia="Calibri" w:cstheme="minorHAnsi"/>
            <w:lang w:bidi="el-GR"/>
          </w:rPr>
          <w:t>Υπηρεσίες Διαχείρισης του Προγράμματος - Οργάνωση και Αρμοδιότητες - Θεσμικό Πλαίσιο</w:t>
        </w:r>
        <w:r w:rsidR="003B3AD7">
          <w:tab/>
        </w:r>
        <w:r w:rsidR="003B3AD7" w:rsidRPr="003B3AD7">
          <w:t>108</w:t>
        </w:r>
      </w:hyperlink>
    </w:p>
    <w:p w14:paraId="6830D4A4" w14:textId="77777777" w:rsidR="002A2422" w:rsidRDefault="006D122A">
      <w:pPr>
        <w:pStyle w:val="20"/>
        <w:tabs>
          <w:tab w:val="left" w:pos="880"/>
          <w:tab w:val="right" w:leader="dot" w:pos="9350"/>
        </w:tabs>
        <w:rPr>
          <w:rFonts w:asciiTheme="minorHAnsi" w:eastAsiaTheme="minorEastAsia" w:hAnsiTheme="minorHAnsi" w:cstheme="minorBidi"/>
          <w:lang w:bidi="he-IL"/>
        </w:rPr>
      </w:pPr>
      <w:hyperlink w:anchor="_Toc73665495" w:history="1">
        <w:r w:rsidR="003B3AD7">
          <w:rPr>
            <w:rStyle w:val="-"/>
          </w:rPr>
          <w:t>6.1</w:t>
        </w:r>
        <w:r w:rsidR="003B3AD7">
          <w:rPr>
            <w:rFonts w:asciiTheme="minorHAnsi" w:eastAsiaTheme="minorEastAsia" w:hAnsiTheme="minorHAnsi" w:cstheme="minorBidi"/>
            <w:lang w:bidi="he-IL"/>
          </w:rPr>
          <w:tab/>
        </w:r>
        <w:r w:rsidR="003B3AD7">
          <w:rPr>
            <w:rStyle w:val="-"/>
          </w:rPr>
          <w:t>Υφιστάμενη κατάσταση στο ΥΠΠΟΑ</w:t>
        </w:r>
        <w:r w:rsidR="003B3AD7">
          <w:tab/>
        </w:r>
        <w:r w:rsidR="003B3AD7" w:rsidRPr="003B3AD7">
          <w:t>110</w:t>
        </w:r>
      </w:hyperlink>
    </w:p>
    <w:p w14:paraId="345A8E1E" w14:textId="77777777" w:rsidR="002A2422" w:rsidRDefault="006D122A">
      <w:pPr>
        <w:pStyle w:val="20"/>
        <w:tabs>
          <w:tab w:val="left" w:pos="880"/>
          <w:tab w:val="right" w:leader="dot" w:pos="9350"/>
        </w:tabs>
        <w:rPr>
          <w:rFonts w:asciiTheme="minorHAnsi" w:eastAsiaTheme="minorEastAsia" w:hAnsiTheme="minorHAnsi" w:cstheme="minorBidi"/>
          <w:lang w:bidi="he-IL"/>
        </w:rPr>
      </w:pPr>
      <w:hyperlink w:anchor="_Toc73665496" w:history="1">
        <w:r w:rsidR="003B3AD7">
          <w:rPr>
            <w:rStyle w:val="-"/>
          </w:rPr>
          <w:t>6.2</w:t>
        </w:r>
        <w:r w:rsidR="003B3AD7">
          <w:rPr>
            <w:rFonts w:asciiTheme="minorHAnsi" w:eastAsiaTheme="minorEastAsia" w:hAnsiTheme="minorHAnsi" w:cstheme="minorBidi"/>
            <w:lang w:bidi="he-IL"/>
          </w:rPr>
          <w:tab/>
        </w:r>
        <w:r w:rsidR="003B3AD7">
          <w:rPr>
            <w:rStyle w:val="-"/>
          </w:rPr>
          <w:t>Δομή υπηρεσιακής διαχείρισης για το ΤΠΑ βάσει του ν. 4635/2019 και των οδηγιών του ΥΠΠΟΑ</w:t>
        </w:r>
        <w:r w:rsidR="003B3AD7">
          <w:tab/>
        </w:r>
        <w:r w:rsidR="003B3AD7" w:rsidRPr="003B3AD7">
          <w:t>110</w:t>
        </w:r>
      </w:hyperlink>
    </w:p>
    <w:p w14:paraId="110AD604" w14:textId="77777777" w:rsidR="002A2422" w:rsidRDefault="006D122A">
      <w:pPr>
        <w:pStyle w:val="10"/>
        <w:tabs>
          <w:tab w:val="left" w:pos="440"/>
        </w:tabs>
        <w:rPr>
          <w:rFonts w:asciiTheme="minorHAnsi" w:eastAsiaTheme="minorEastAsia" w:hAnsiTheme="minorHAnsi" w:cstheme="minorBidi"/>
          <w:lang w:bidi="he-IL"/>
        </w:rPr>
      </w:pPr>
      <w:hyperlink w:anchor="_Toc73665497" w:history="1">
        <w:r w:rsidR="003B3AD7">
          <w:rPr>
            <w:rStyle w:val="-"/>
          </w:rPr>
          <w:t>7</w:t>
        </w:r>
        <w:r w:rsidR="003B3AD7">
          <w:rPr>
            <w:rFonts w:asciiTheme="minorHAnsi" w:eastAsiaTheme="minorEastAsia" w:hAnsiTheme="minorHAnsi" w:cstheme="minorBidi"/>
            <w:lang w:bidi="he-IL"/>
          </w:rPr>
          <w:tab/>
        </w:r>
        <w:r w:rsidR="003B3AD7">
          <w:rPr>
            <w:rStyle w:val="-"/>
            <w:rFonts w:eastAsia="Calibri" w:cstheme="minorHAnsi"/>
            <w:lang w:bidi="el-GR"/>
          </w:rPr>
          <w:t>Πρόταση ΥΠΠΟΑ για την ΥΔ του ΤΠΑ</w:t>
        </w:r>
        <w:r w:rsidR="003B3AD7">
          <w:tab/>
        </w:r>
        <w:r w:rsidR="003B3AD7" w:rsidRPr="003B3AD7">
          <w:t>112</w:t>
        </w:r>
      </w:hyperlink>
    </w:p>
    <w:p w14:paraId="67C10502" w14:textId="77777777" w:rsidR="002A2422" w:rsidRDefault="006D122A">
      <w:pPr>
        <w:pStyle w:val="10"/>
        <w:tabs>
          <w:tab w:val="left" w:pos="440"/>
        </w:tabs>
        <w:rPr>
          <w:rFonts w:asciiTheme="minorHAnsi" w:eastAsiaTheme="minorEastAsia" w:hAnsiTheme="minorHAnsi" w:cstheme="minorBidi"/>
          <w:lang w:bidi="he-IL"/>
        </w:rPr>
      </w:pPr>
      <w:hyperlink w:anchor="_Toc73665498" w:history="1">
        <w:r w:rsidR="003B3AD7">
          <w:rPr>
            <w:rStyle w:val="-"/>
          </w:rPr>
          <w:t>8</w:t>
        </w:r>
        <w:r w:rsidR="003B3AD7">
          <w:rPr>
            <w:rFonts w:asciiTheme="minorHAnsi" w:eastAsiaTheme="minorEastAsia" w:hAnsiTheme="minorHAnsi" w:cstheme="minorBidi"/>
            <w:lang w:bidi="he-IL"/>
          </w:rPr>
          <w:tab/>
        </w:r>
        <w:r w:rsidR="003B3AD7">
          <w:rPr>
            <w:rStyle w:val="-"/>
            <w:rFonts w:eastAsia="Calibri"/>
            <w:lang w:bidi="el-GR"/>
          </w:rPr>
          <w:t>ΚΡΙΤΗΡΙΑ ΕΠΙΛΟΓΗΣ ΕΡΓΩΝ</w:t>
        </w:r>
        <w:r w:rsidR="003B3AD7">
          <w:tab/>
        </w:r>
        <w:r w:rsidR="003B3AD7" w:rsidRPr="003B3AD7">
          <w:t>112</w:t>
        </w:r>
      </w:hyperlink>
    </w:p>
    <w:p w14:paraId="72EA0859" w14:textId="77777777" w:rsidR="002A2422" w:rsidRDefault="006D122A">
      <w:pPr>
        <w:pStyle w:val="10"/>
        <w:tabs>
          <w:tab w:val="left" w:pos="440"/>
        </w:tabs>
        <w:rPr>
          <w:rFonts w:asciiTheme="minorHAnsi" w:eastAsiaTheme="minorEastAsia" w:hAnsiTheme="minorHAnsi" w:cstheme="minorBidi"/>
          <w:lang w:bidi="he-IL"/>
        </w:rPr>
      </w:pPr>
      <w:hyperlink w:anchor="_Toc73665499" w:history="1">
        <w:r w:rsidR="003B3AD7">
          <w:rPr>
            <w:rStyle w:val="-"/>
          </w:rPr>
          <w:t>9</w:t>
        </w:r>
        <w:r w:rsidR="003B3AD7">
          <w:rPr>
            <w:rFonts w:asciiTheme="minorHAnsi" w:eastAsiaTheme="minorEastAsia" w:hAnsiTheme="minorHAnsi" w:cstheme="minorBidi"/>
            <w:lang w:bidi="he-IL"/>
          </w:rPr>
          <w:tab/>
        </w:r>
        <w:r w:rsidR="003B3AD7">
          <w:rPr>
            <w:rStyle w:val="-"/>
            <w:rFonts w:eastAsia="Calibri" w:cstheme="minorHAnsi"/>
            <w:lang w:bidi="el-GR"/>
          </w:rPr>
          <w:t>ΕΙΔΙΚΑ ΚΑΙ ΑΛΛΑ ΘΕΜΑΤΑ</w:t>
        </w:r>
        <w:r w:rsidR="003B3AD7">
          <w:tab/>
        </w:r>
        <w:r w:rsidR="003B3AD7" w:rsidRPr="003B3AD7">
          <w:t>117</w:t>
        </w:r>
      </w:hyperlink>
    </w:p>
    <w:p w14:paraId="174F2A62" w14:textId="77777777" w:rsidR="002A2422" w:rsidRDefault="006D122A">
      <w:hyperlink w:anchor="_Toc73665500" w:history="1">
        <w:r w:rsidR="003B3AD7">
          <w:rPr>
            <w:rStyle w:val="-"/>
          </w:rPr>
          <w:t>10</w:t>
        </w:r>
        <w:r w:rsidR="003B3AD7">
          <w:rPr>
            <w:rFonts w:asciiTheme="minorHAnsi" w:eastAsiaTheme="minorEastAsia" w:hAnsiTheme="minorHAnsi" w:cstheme="minorBidi"/>
            <w:lang w:bidi="he-IL"/>
          </w:rPr>
          <w:tab/>
        </w:r>
        <w:r w:rsidR="003B3AD7">
          <w:rPr>
            <w:rStyle w:val="-"/>
          </w:rPr>
          <w:t>ΣΥΝΟΠΤΙΚΗ ΠΕΡΙΓΡΑΦΗ ΤΗΣ ΔΙΑΔΙΚΑΣΙΑΣ ΣΧΕΔΙΑΣΜΟΥ ΤΟΥ ΠΡΟΓΡΑΜΜΑΤΟΣ</w:t>
        </w:r>
        <w:r w:rsidR="003B3AD7">
          <w:tab/>
        </w:r>
        <w:r w:rsidR="003B3AD7" w:rsidRPr="003B3AD7">
          <w:t>117</w:t>
        </w:r>
      </w:hyperlink>
    </w:p>
    <w:p w14:paraId="5319A261" w14:textId="77777777" w:rsidR="002A2422" w:rsidRDefault="003B3AD7">
      <w:pPr>
        <w:pStyle w:val="10"/>
        <w:tabs>
          <w:tab w:val="left" w:pos="660"/>
        </w:tabs>
        <w:rPr>
          <w:rFonts w:asciiTheme="minorHAnsi" w:eastAsiaTheme="minorEastAsia" w:hAnsiTheme="minorHAnsi" w:cstheme="minorBidi"/>
          <w:lang w:bidi="he-IL"/>
        </w:rPr>
      </w:pPr>
      <w:r>
        <w:rPr>
          <w:rFonts w:asciiTheme="minorHAnsi" w:hAnsiTheme="minorHAnsi" w:cstheme="minorHAnsi"/>
          <w:sz w:val="24"/>
          <w:szCs w:val="24"/>
        </w:rPr>
        <w:fldChar w:fldCharType="begin"/>
      </w:r>
      <w:r>
        <w:rPr>
          <w:rFonts w:asciiTheme="minorHAnsi" w:hAnsiTheme="minorHAnsi" w:cstheme="minorHAnsi"/>
          <w:sz w:val="24"/>
          <w:szCs w:val="24"/>
        </w:rPr>
        <w:instrText xml:space="preserve"> TOC \o "1-3" \h \z \u </w:instrText>
      </w:r>
      <w:r>
        <w:rPr>
          <w:rFonts w:asciiTheme="minorHAnsi" w:hAnsiTheme="minorHAnsi" w:cstheme="minorHAnsi"/>
          <w:sz w:val="24"/>
          <w:szCs w:val="24"/>
        </w:rPr>
        <w:fldChar w:fldCharType="separate"/>
      </w:r>
    </w:p>
    <w:p w14:paraId="19774699" w14:textId="77777777" w:rsidR="002A2422" w:rsidRDefault="003B3AD7">
      <w:pPr>
        <w:rPr>
          <w:rFonts w:asciiTheme="minorHAnsi" w:hAnsiTheme="minorHAnsi" w:cstheme="minorHAnsi"/>
          <w:sz w:val="24"/>
          <w:szCs w:val="24"/>
        </w:rPr>
      </w:pPr>
      <w:r>
        <w:rPr>
          <w:rFonts w:asciiTheme="minorHAnsi" w:hAnsiTheme="minorHAnsi" w:cstheme="minorHAnsi"/>
          <w:sz w:val="24"/>
          <w:szCs w:val="24"/>
        </w:rPr>
        <w:fldChar w:fldCharType="end"/>
      </w:r>
    </w:p>
    <w:p w14:paraId="0FDC0984" w14:textId="77777777" w:rsidR="002A2422" w:rsidRDefault="002A2422">
      <w:pPr>
        <w:rPr>
          <w:rFonts w:asciiTheme="minorHAnsi" w:hAnsiTheme="minorHAnsi" w:cstheme="minorHAnsi"/>
          <w:sz w:val="24"/>
          <w:szCs w:val="24"/>
        </w:rPr>
      </w:pPr>
    </w:p>
    <w:p w14:paraId="0765CDB2" w14:textId="77777777" w:rsidR="002A2422" w:rsidRDefault="002A2422">
      <w:pPr>
        <w:rPr>
          <w:rFonts w:asciiTheme="minorHAnsi" w:hAnsiTheme="minorHAnsi" w:cstheme="minorHAnsi"/>
          <w:sz w:val="24"/>
          <w:szCs w:val="24"/>
        </w:rPr>
      </w:pPr>
    </w:p>
    <w:p w14:paraId="6790D6BD" w14:textId="77777777" w:rsidR="002A2422" w:rsidRDefault="002A2422">
      <w:pPr>
        <w:rPr>
          <w:rFonts w:asciiTheme="minorHAnsi" w:hAnsiTheme="minorHAnsi" w:cstheme="minorHAnsi"/>
          <w:sz w:val="24"/>
          <w:szCs w:val="24"/>
        </w:rPr>
      </w:pPr>
    </w:p>
    <w:p w14:paraId="3A8B0FE4" w14:textId="77777777" w:rsidR="002A2422" w:rsidRDefault="002A2422">
      <w:pPr>
        <w:rPr>
          <w:rFonts w:asciiTheme="minorHAnsi" w:hAnsiTheme="minorHAnsi" w:cstheme="minorHAnsi"/>
          <w:sz w:val="24"/>
          <w:szCs w:val="24"/>
        </w:rPr>
      </w:pPr>
    </w:p>
    <w:p w14:paraId="03ED61A4" w14:textId="77777777" w:rsidR="002A2422" w:rsidRDefault="003B3AD7">
      <w:pPr>
        <w:pStyle w:val="1"/>
        <w:numPr>
          <w:ilvl w:val="0"/>
          <w:numId w:val="0"/>
        </w:numPr>
        <w:ind w:left="1134" w:hanging="1134"/>
      </w:pPr>
      <w:bookmarkStart w:id="3" w:name="_Toc73665464"/>
      <w:bookmarkStart w:id="4" w:name="_Toc68011177"/>
      <w:r>
        <w:lastRenderedPageBreak/>
        <w:t>ΕΙΣΑΓΩΓΗ</w:t>
      </w:r>
      <w:bookmarkEnd w:id="3"/>
      <w:bookmarkEnd w:id="4"/>
    </w:p>
    <w:p w14:paraId="44C792D1" w14:textId="77777777" w:rsidR="002A2422" w:rsidRDefault="003B3AD7">
      <w:pPr>
        <w:spacing w:before="60" w:after="60"/>
        <w:rPr>
          <w:rFonts w:asciiTheme="minorHAnsi" w:eastAsiaTheme="minorHAnsi" w:hAnsiTheme="minorHAnsi" w:cstheme="minorHAnsi"/>
          <w:sz w:val="24"/>
          <w:szCs w:val="24"/>
        </w:rPr>
      </w:pPr>
      <w:r>
        <w:rPr>
          <w:rFonts w:asciiTheme="minorHAnsi" w:hAnsiTheme="minorHAnsi" w:cstheme="minorHAnsi"/>
          <w:sz w:val="24"/>
          <w:szCs w:val="24"/>
        </w:rPr>
        <w:t xml:space="preserve">Βάσει της έγκρισης του ΦΕΚ 9405/φ.174 και την έγκριση του Εθνικού Προγράμματος Ανάπτυξης (ΕΠΑ) για την προγραμματική περίοδο 2021 -2025 θεσμοθετήθηκε ένα ολοκληρωμένο σύστημα για τον σχεδιασμό, τη διαχείριση, την παρακολούθηση και τον έλεγχο των παρεμβάσεων που χρηματοδοτούνται από εθνικούς πόρους του Προγράμματος Δημοσίων Επενδύσεων (ΠΔΕ). </w:t>
      </w:r>
    </w:p>
    <w:p w14:paraId="37582548"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Με το ΕΠΑ εισάγονται η </w:t>
      </w:r>
      <w:proofErr w:type="spellStart"/>
      <w:r>
        <w:rPr>
          <w:rFonts w:asciiTheme="minorHAnsi" w:hAnsiTheme="minorHAnsi" w:cstheme="minorHAnsi"/>
          <w:sz w:val="24"/>
          <w:szCs w:val="24"/>
        </w:rPr>
        <w:t>μεσοπρόσθεσμη</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στοχοθεσία</w:t>
      </w:r>
      <w:proofErr w:type="spellEnd"/>
      <w:r>
        <w:rPr>
          <w:rFonts w:asciiTheme="minorHAnsi" w:hAnsiTheme="minorHAnsi" w:cstheme="minorHAnsi"/>
          <w:sz w:val="24"/>
          <w:szCs w:val="24"/>
        </w:rPr>
        <w:t xml:space="preserve"> και η υπαγωγή των παρεμβάσεων του ΠΔΕ σε στρατηγικούς στόχους και ιεραρχούμενες αναπτυξιακές προτεραιότητες.  </w:t>
      </w:r>
    </w:p>
    <w:p w14:paraId="4B9B0E54"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Το ΠΔΕ χρηματοδοτεί αναπτυξιακά σχέδια από εθνικούς πόρους. Για πρώτη φορά στο Εθνικό Πρόγραμμα Ανάπτυξης το Υπουργείο Πολιτισμού και Αθλητισμού (ΥΠΠΟΑ) ορίζει, με την έκδοση Υπουργικής Απόφασης, το πλαίσιο των στόχων του προγράμματος, καθώς και τους κανόνες υποβολής των προγραμμάτων</w:t>
      </w:r>
      <w:r>
        <w:rPr>
          <w:rFonts w:asciiTheme="minorHAnsi" w:eastAsia="SimSun" w:hAnsiTheme="minorHAnsi" w:cstheme="minorHAnsi"/>
          <w:sz w:val="24"/>
          <w:szCs w:val="24"/>
        </w:rPr>
        <w:t xml:space="preserve"> προς έγκριση.</w:t>
      </w:r>
    </w:p>
    <w:p w14:paraId="168177D2"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Παράλληλα, καθορίζονται οι προτεραιότητες ανά τομέα πολιτικής στο πλαίσιο των εθνικών αναπτυξιακών στόχων, των ειδικών στόχων και δράσεων, του συνολικού και ανά προγράμματος προϋπολογισμού, καθώς και τα αποτελέσματα που επιδιώκονται από την εφαρμογή του. </w:t>
      </w:r>
    </w:p>
    <w:p w14:paraId="7FDE7BD1"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Τα Τομεακά Προγράμματα (ΤΠ), τα οποία αποτελούν μέρος του ΕΠΑ, αποτελούν συμβατικές υποχρεώσεις και καταρτίζονται από τα Υπουργεία και περιλαμβάνουν τη μεσοπρόθεσμη </w:t>
      </w:r>
      <w:proofErr w:type="spellStart"/>
      <w:r>
        <w:rPr>
          <w:rFonts w:asciiTheme="minorHAnsi" w:hAnsiTheme="minorHAnsi" w:cstheme="minorHAnsi"/>
          <w:sz w:val="24"/>
          <w:szCs w:val="24"/>
        </w:rPr>
        <w:t>στοχοθεσία</w:t>
      </w:r>
      <w:proofErr w:type="spellEnd"/>
      <w:r>
        <w:rPr>
          <w:rFonts w:asciiTheme="minorHAnsi" w:hAnsiTheme="minorHAnsi" w:cstheme="minorHAnsi"/>
          <w:sz w:val="24"/>
          <w:szCs w:val="24"/>
        </w:rPr>
        <w:t xml:space="preserve"> αναπτυξιακού προγραμματισμού στον τομέα ευθύνης  τους με βάση την κατανομή και τον προγραμματισμό των πόρων του ΕΠΑ. </w:t>
      </w:r>
    </w:p>
    <w:p w14:paraId="1540FA8A"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Εν προκειμένω, το ΥΠΠΟΑ ως φορέας πολιτικής πολιτισμού σε εθνικό και περιφερειακό επίπεδο συντονίζει τις απαιτούμενες ενέργειες για την κατάρτιση του Τομεακού Προγράμματος Ανάπτυξης αρμοδιότητάς του,  προσδιορίζοντας καταρχήν τις αναπτυξιακές ανάγκες και δυνατότητες όπως ορίζονται στο ΕΠΑ, και κατ’ επέκταση του Τομεακού Προγράμματος Ανάπτυξης  του ΥΠΠΟΑ, στο πλαίσιο της ηθικής και δίκαιης κατανάλωσης.</w:t>
      </w:r>
    </w:p>
    <w:p w14:paraId="78D82C1D" w14:textId="77777777" w:rsidR="002A2422" w:rsidRDefault="002A2422">
      <w:pPr>
        <w:spacing w:before="60" w:after="60"/>
        <w:rPr>
          <w:rFonts w:asciiTheme="minorHAnsi" w:hAnsiTheme="minorHAnsi" w:cstheme="minorHAnsi"/>
          <w:sz w:val="24"/>
          <w:szCs w:val="24"/>
        </w:rPr>
      </w:pPr>
    </w:p>
    <w:p w14:paraId="18214647" w14:textId="77777777" w:rsidR="002A2422" w:rsidRDefault="003B3AD7">
      <w:pPr>
        <w:pStyle w:val="1"/>
      </w:pPr>
      <w:bookmarkStart w:id="5" w:name="_Toc73665465"/>
      <w:bookmarkStart w:id="6" w:name="_Toc68011178"/>
      <w:r>
        <w:lastRenderedPageBreak/>
        <w:t>ΑΝΑΛΥΣΗ ΥΦΙΣΤΑΜΕΝΗΣ ΚΑΤΑΣΤΑΣΗΣ</w:t>
      </w:r>
      <w:bookmarkEnd w:id="5"/>
      <w:bookmarkEnd w:id="6"/>
      <w:r>
        <w:t xml:space="preserve"> </w:t>
      </w:r>
    </w:p>
    <w:p w14:paraId="4F91E171" w14:textId="77777777" w:rsidR="002A2422" w:rsidRDefault="003B3AD7">
      <w:pPr>
        <w:pStyle w:val="2"/>
      </w:pPr>
      <w:bookmarkStart w:id="7" w:name="_Toc68011179"/>
      <w:bookmarkStart w:id="8" w:name="_Toc73665466"/>
      <w:r>
        <w:t>ΘΕΣΜΙΚΟ ΠΛΑΙΣΙΟ ΦΟΡΕΑ ΚΑΤΑΡΤΙΣΗΣ - ΚΑΝΟΝΙΣΤΙΚΗ ΑΡΜΟΔΙΟΤΗΤΑ - ΤΟΜΕΙΣ ΠΑΡΕΜΒΑΣΗΣ</w:t>
      </w:r>
      <w:bookmarkEnd w:id="7"/>
      <w:bookmarkEnd w:id="8"/>
      <w:r>
        <w:t xml:space="preserve"> </w:t>
      </w:r>
    </w:p>
    <w:p w14:paraId="2A82891D" w14:textId="77777777" w:rsidR="002A2422" w:rsidRDefault="003B3AD7">
      <w:pPr>
        <w:pStyle w:val="3"/>
      </w:pPr>
      <w:bookmarkStart w:id="9" w:name="_Toc73665467"/>
      <w:bookmarkStart w:id="10" w:name="_Toc68011180"/>
      <w:r>
        <w:t>Θεσμικό Πλαίσιο  Υπουργείου Πολιτισμού &amp; Αθλητισμού</w:t>
      </w:r>
      <w:bookmarkEnd w:id="9"/>
      <w:bookmarkEnd w:id="10"/>
      <w:r>
        <w:t xml:space="preserve"> </w:t>
      </w:r>
    </w:p>
    <w:p w14:paraId="6CD2E7F0" w14:textId="77777777" w:rsidR="002A2422" w:rsidRDefault="003B3AD7">
      <w:pPr>
        <w:spacing w:before="60" w:after="60" w:line="324" w:lineRule="auto"/>
        <w:rPr>
          <w:rFonts w:asciiTheme="minorHAnsi" w:hAnsiTheme="minorHAnsi" w:cstheme="minorHAnsi"/>
          <w:sz w:val="24"/>
          <w:szCs w:val="24"/>
        </w:rPr>
      </w:pPr>
      <w:r>
        <w:rPr>
          <w:rFonts w:asciiTheme="minorHAnsi" w:hAnsiTheme="minorHAnsi" w:cstheme="minorHAnsi"/>
          <w:sz w:val="24"/>
          <w:szCs w:val="24"/>
        </w:rPr>
        <w:t xml:space="preserve">Το Υπουργείο Πολιτισμού και Αθλητισμού (ΥΠΠΟΑ), συστάθηκε το 1971 υπό την ονομασία Υπουργείο Πολιτισμού και Επιστημών. </w:t>
      </w:r>
    </w:p>
    <w:p w14:paraId="7218CA2F" w14:textId="77777777" w:rsidR="002A2422" w:rsidRDefault="003B3AD7">
      <w:pPr>
        <w:spacing w:before="60" w:after="60" w:line="324" w:lineRule="auto"/>
        <w:rPr>
          <w:rFonts w:asciiTheme="minorHAnsi" w:hAnsiTheme="minorHAnsi" w:cstheme="minorHAnsi"/>
          <w:sz w:val="24"/>
          <w:szCs w:val="24"/>
        </w:rPr>
      </w:pPr>
      <w:r>
        <w:rPr>
          <w:rFonts w:asciiTheme="minorHAnsi" w:hAnsiTheme="minorHAnsi" w:cstheme="minorHAnsi"/>
          <w:sz w:val="24"/>
          <w:szCs w:val="24"/>
        </w:rPr>
        <w:t>Το Υπουργείο στοχεύει στην προστασία και  ανάδειξη της πολιτιστικής κληρονομιάς, στην ενίσχυση και προστασία της καλλιτεχνικής και πνευματικής δημιουργίας μέσω αντίστοιχων νομοθετικών και θεσμικών παρεμβάσεων και την εμπέδωση στην κοινωνική συνείδηση του αθλητικού πνεύματος. Αποτελείται από τρεις Γενικές Γραμματείες, τη Γενική Γραμματεία Πολιτισμού,  τη Γενική Γραμματεία Σύγχρονου Πολιτισμού, και τη Γενική Γραμματεία Αθλητισμού.</w:t>
      </w:r>
    </w:p>
    <w:p w14:paraId="3C1171C6" w14:textId="77777777" w:rsidR="002A2422" w:rsidRDefault="003B3AD7">
      <w:pPr>
        <w:spacing w:before="60" w:after="60" w:line="324" w:lineRule="auto"/>
        <w:rPr>
          <w:rFonts w:asciiTheme="minorHAnsi" w:hAnsiTheme="minorHAnsi" w:cstheme="minorHAnsi"/>
          <w:sz w:val="24"/>
          <w:szCs w:val="24"/>
        </w:rPr>
      </w:pPr>
      <w:r>
        <w:rPr>
          <w:rFonts w:asciiTheme="minorHAnsi" w:hAnsiTheme="minorHAnsi" w:cstheme="minorHAnsi"/>
          <w:sz w:val="24"/>
          <w:szCs w:val="24"/>
        </w:rPr>
        <w:t>Βάσει του ΠΔ 4/2018 (Α’ 7), η αποστολή του Υπουργείου Πολιτισμού και Αθλητισμού συνοψίζεται στην προαγωγή της επιστημονικής έρευνας, την ανεύρεση, τη διάσωση, την προστασία, την ανάδειξη και την προβολή του συνόλου της πολιτιστικής κληρονομιάς (υλικής και άυλης, κινητής και ακίνητης), την υποστήριξη και ανάπτυξη της σύγχρονης καλλιτεχνικής δημιουργίας, τη διάχυση των πολιτιστικών προϊόντων μεταξύ των πολιτών, τη δημιουργική συμμετοχή τους στη σύγχρονη καλλιτεχνική παραγωγή, την ευαισθητοποίησή τους για την προστασία του πολιτιστικού αποθέματος και την προβολή του Ελληνικού Πολιτισμού παγκοσμίως, με την ενθάρρυνση των διεθνών συνεργασιών για θέματα διαχείρισης - προστασίας της πολιτιστικής μας κληρονομιάς.</w:t>
      </w:r>
    </w:p>
    <w:p w14:paraId="044686C9" w14:textId="77777777" w:rsidR="002A2422" w:rsidRDefault="003B3AD7">
      <w:pPr>
        <w:spacing w:before="60" w:after="60" w:line="324" w:lineRule="auto"/>
        <w:rPr>
          <w:rFonts w:asciiTheme="minorHAnsi" w:hAnsiTheme="minorHAnsi" w:cstheme="minorHAnsi"/>
          <w:sz w:val="24"/>
          <w:szCs w:val="24"/>
        </w:rPr>
      </w:pPr>
      <w:r>
        <w:rPr>
          <w:rFonts w:asciiTheme="minorHAnsi" w:hAnsiTheme="minorHAnsi" w:cstheme="minorHAnsi"/>
          <w:sz w:val="24"/>
          <w:szCs w:val="24"/>
        </w:rPr>
        <w:t xml:space="preserve">Πιο συγκεκριμένα, η αποστολή του Υπουργείου Πολιτισμού και Αθλητισμού, εστιάζει στην έρευνα και ανάπτυξη σύγχρονων πολιτιστικών τομέων,  με απώτερο στόχο την ενίσχυση της ανθεκτικότητας του πολιτιστικού τομέα, την ανάπτυξη νέων πολιτιστικών κοινών και την ενδυνάμωση της πολιτιστικής εξωστρέφειας της χώρας. </w:t>
      </w:r>
    </w:p>
    <w:p w14:paraId="20AD75EF" w14:textId="77777777" w:rsidR="002A2422" w:rsidRDefault="003B3AD7">
      <w:pPr>
        <w:spacing w:before="60" w:after="60" w:line="324" w:lineRule="auto"/>
        <w:rPr>
          <w:rFonts w:asciiTheme="minorHAnsi" w:hAnsiTheme="minorHAnsi" w:cstheme="minorHAnsi"/>
          <w:sz w:val="24"/>
          <w:szCs w:val="24"/>
        </w:rPr>
      </w:pPr>
      <w:r>
        <w:rPr>
          <w:rFonts w:asciiTheme="minorHAnsi" w:hAnsiTheme="minorHAnsi" w:cstheme="minorHAnsi"/>
          <w:sz w:val="24"/>
          <w:szCs w:val="24"/>
        </w:rPr>
        <w:t>Στον δε τομέα του Αθλητισμού, αποστολή είναι η συστηματική καλλιέργεια, η διάδοση και η εμπέδωση στην κοινωνική συνείδηση του αθλητικού πνεύματος και η διασφάλιση των αξιών του Ολυμπισμού.</w:t>
      </w:r>
    </w:p>
    <w:p w14:paraId="39920C0B" w14:textId="77777777" w:rsidR="002A2422" w:rsidRDefault="003B3AD7">
      <w:pPr>
        <w:spacing w:before="60" w:after="60" w:line="324" w:lineRule="auto"/>
        <w:rPr>
          <w:rFonts w:asciiTheme="minorHAnsi" w:hAnsiTheme="minorHAnsi" w:cstheme="minorHAnsi"/>
          <w:sz w:val="24"/>
          <w:szCs w:val="24"/>
        </w:rPr>
      </w:pPr>
      <w:r>
        <w:rPr>
          <w:rFonts w:asciiTheme="minorHAnsi" w:hAnsiTheme="minorHAnsi" w:cstheme="minorHAnsi"/>
          <w:sz w:val="24"/>
          <w:szCs w:val="24"/>
        </w:rPr>
        <w:lastRenderedPageBreak/>
        <w:t>Η τεκμηρίωση των αθλητικών αναγκών της χώρας, η χάραξη αθλητικής πολιτικής, η παρακολούθηση και τήρηση της εφαρμογής της.</w:t>
      </w:r>
    </w:p>
    <w:p w14:paraId="32E4E102" w14:textId="77777777" w:rsidR="002A2422" w:rsidRDefault="003B3AD7">
      <w:pPr>
        <w:spacing w:before="60" w:after="60" w:line="324" w:lineRule="auto"/>
        <w:rPr>
          <w:rFonts w:asciiTheme="minorHAnsi" w:hAnsiTheme="minorHAnsi" w:cstheme="minorHAnsi"/>
          <w:sz w:val="24"/>
          <w:szCs w:val="24"/>
        </w:rPr>
      </w:pPr>
      <w:r>
        <w:rPr>
          <w:rFonts w:asciiTheme="minorHAnsi" w:hAnsiTheme="minorHAnsi" w:cstheme="minorHAnsi"/>
          <w:sz w:val="24"/>
          <w:szCs w:val="24"/>
        </w:rPr>
        <w:t xml:space="preserve">Πρωταρχικοί άξονες της πολιτικής του Υπουργείου είναι η αντιμετώπιση των </w:t>
      </w:r>
      <w:proofErr w:type="spellStart"/>
      <w:r>
        <w:rPr>
          <w:rFonts w:asciiTheme="minorHAnsi" w:hAnsiTheme="minorHAnsi" w:cstheme="minorHAnsi"/>
          <w:sz w:val="24"/>
          <w:szCs w:val="24"/>
        </w:rPr>
        <w:t>παραβατικών</w:t>
      </w:r>
      <w:proofErr w:type="spellEnd"/>
      <w:r>
        <w:rPr>
          <w:rFonts w:asciiTheme="minorHAnsi" w:hAnsiTheme="minorHAnsi" w:cstheme="minorHAnsi"/>
          <w:sz w:val="24"/>
          <w:szCs w:val="24"/>
        </w:rPr>
        <w:t xml:space="preserve"> φαινομένων στον αθλητισμό, η προώθηση του υγιούς, αγωνιστικού επαγγελματικού και ερασιτεχνικού αθλητισμού, η αναβάθμιση των αθλητικών υποδομών της χώρας, η ενίσχυση της εξωστρέφειας με τη διεκδίκηση διεθνών αθλητικών διοργανώσεων, αλλά και η ανάπτυξη δράσεων για την ανάδειξη του αθλητισμού στην κοινωνία. </w:t>
      </w:r>
    </w:p>
    <w:p w14:paraId="1198C97E" w14:textId="77777777" w:rsidR="002A2422" w:rsidRDefault="003B3AD7">
      <w:pPr>
        <w:spacing w:before="60" w:after="60" w:line="324" w:lineRule="auto"/>
        <w:rPr>
          <w:rFonts w:asciiTheme="minorHAnsi" w:hAnsiTheme="minorHAnsi" w:cstheme="minorHAnsi"/>
          <w:sz w:val="24"/>
          <w:szCs w:val="24"/>
        </w:rPr>
      </w:pPr>
      <w:r>
        <w:rPr>
          <w:rFonts w:asciiTheme="minorHAnsi" w:hAnsiTheme="minorHAnsi" w:cstheme="minorHAnsi"/>
          <w:sz w:val="24"/>
          <w:szCs w:val="24"/>
        </w:rPr>
        <w:t xml:space="preserve">Έμφαση δίδεται και στην προσβασιμότητα, ώστε οι πολιτιστικές δομές να μπορούν να καταστούν </w:t>
      </w:r>
      <w:proofErr w:type="spellStart"/>
      <w:r>
        <w:rPr>
          <w:rFonts w:asciiTheme="minorHAnsi" w:hAnsiTheme="minorHAnsi" w:cstheme="minorHAnsi"/>
          <w:sz w:val="24"/>
          <w:szCs w:val="24"/>
        </w:rPr>
        <w:t>προσβάσιμες</w:t>
      </w:r>
      <w:proofErr w:type="spellEnd"/>
      <w:r>
        <w:rPr>
          <w:rFonts w:asciiTheme="minorHAnsi" w:hAnsiTheme="minorHAnsi" w:cstheme="minorHAnsi"/>
          <w:sz w:val="24"/>
          <w:szCs w:val="24"/>
        </w:rPr>
        <w:t xml:space="preserve"> ευρύτερα και σε επί μέρους ειδικά κοινά εντός και εκτός Ελλάδας, με τον εμπλουτισμό της εμπειρίας των επισκεπτών. Λόγω και των ειδικών συνθηκών  οι πολιτιστικές υποδομές θα πρέπει να μπορούν να λειτουργούν με εναλλακτικούς τρόπους, να αποτελούν σημεία αναφοράς διεθνώς, όχι μόνο λόγω του υψηλής ποιότητας πολιτιστικού αποθέματος που διαθέτει η χώρα αλλά και λόγω της καινοτόμου προσέγγισης.</w:t>
      </w:r>
    </w:p>
    <w:p w14:paraId="2D76B05B" w14:textId="77777777" w:rsidR="002A2422" w:rsidRDefault="003B3AD7">
      <w:pPr>
        <w:spacing w:before="60" w:after="60" w:line="324" w:lineRule="auto"/>
        <w:rPr>
          <w:rFonts w:asciiTheme="minorHAnsi" w:hAnsiTheme="minorHAnsi" w:cstheme="minorHAnsi"/>
          <w:sz w:val="24"/>
          <w:szCs w:val="24"/>
        </w:rPr>
      </w:pPr>
      <w:r>
        <w:rPr>
          <w:rFonts w:asciiTheme="minorHAnsi" w:hAnsiTheme="minorHAnsi" w:cstheme="minorHAnsi"/>
          <w:sz w:val="24"/>
          <w:szCs w:val="24"/>
        </w:rPr>
        <w:t>Επιπρόσθετα, αποστολή του ΥΠΠΟΑ είναι η συστηματική καλλιέργεια, διάδοση και εμπέδωση στην κοινωνική συνείδηση του αθλητικού πνεύματος και η διασφάλιση των αξιών του Ολυμπισμού και τη διάδοσή τους σε εθνικό και διεθνές επίπεδο με κάθε πρόσφορο μέσο.</w:t>
      </w:r>
    </w:p>
    <w:p w14:paraId="3D5854C5" w14:textId="77777777" w:rsidR="002A2422" w:rsidRDefault="002A2422">
      <w:pPr>
        <w:spacing w:before="60" w:after="60" w:line="324" w:lineRule="auto"/>
        <w:rPr>
          <w:rFonts w:asciiTheme="minorHAnsi" w:hAnsiTheme="minorHAnsi" w:cstheme="minorHAnsi"/>
          <w:sz w:val="24"/>
          <w:szCs w:val="24"/>
        </w:rPr>
      </w:pPr>
    </w:p>
    <w:p w14:paraId="00B8EEE0" w14:textId="77777777" w:rsidR="002A2422" w:rsidRDefault="003B3AD7">
      <w:pPr>
        <w:spacing w:before="60" w:after="60" w:line="324" w:lineRule="auto"/>
        <w:rPr>
          <w:rFonts w:asciiTheme="minorHAnsi" w:hAnsiTheme="minorHAnsi" w:cstheme="minorHAnsi"/>
          <w:b/>
          <w:sz w:val="24"/>
          <w:szCs w:val="24"/>
        </w:rPr>
      </w:pPr>
      <w:r>
        <w:rPr>
          <w:rFonts w:asciiTheme="minorHAnsi" w:hAnsiTheme="minorHAnsi" w:cstheme="minorHAnsi"/>
          <w:b/>
          <w:sz w:val="24"/>
          <w:szCs w:val="24"/>
        </w:rPr>
        <w:t xml:space="preserve">(Το οργανόγραμμα επισυνάπτεται σε παράρτημα στο τέλος του παραδοτέου). </w:t>
      </w:r>
    </w:p>
    <w:p w14:paraId="51B0AAAA" w14:textId="77777777" w:rsidR="002A2422" w:rsidRDefault="003B3AD7">
      <w:pPr>
        <w:spacing w:before="60" w:after="60"/>
        <w:rPr>
          <w:rFonts w:asciiTheme="minorHAnsi" w:hAnsiTheme="minorHAnsi" w:cstheme="minorHAnsi"/>
          <w:b/>
          <w:bCs/>
          <w:sz w:val="24"/>
          <w:szCs w:val="24"/>
        </w:rPr>
      </w:pPr>
      <w:r>
        <w:rPr>
          <w:rFonts w:asciiTheme="minorHAnsi" w:hAnsiTheme="minorHAnsi" w:cstheme="minorHAnsi"/>
          <w:sz w:val="24"/>
          <w:szCs w:val="24"/>
        </w:rPr>
        <w:t xml:space="preserve">Του Υπουργείου προΐσταται ο/η </w:t>
      </w:r>
      <w:r>
        <w:rPr>
          <w:rFonts w:asciiTheme="minorHAnsi" w:hAnsiTheme="minorHAnsi" w:cstheme="minorHAnsi"/>
          <w:b/>
          <w:bCs/>
          <w:sz w:val="24"/>
          <w:szCs w:val="24"/>
        </w:rPr>
        <w:t>Υπουργός Πολιτισμού και Αθλητισμού.</w:t>
      </w:r>
    </w:p>
    <w:p w14:paraId="01902ACF"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Παράλληλα, οργανωτικά το </w:t>
      </w:r>
      <w:r>
        <w:rPr>
          <w:rFonts w:asciiTheme="minorHAnsi" w:hAnsiTheme="minorHAnsi" w:cstheme="minorHAnsi"/>
          <w:b/>
          <w:sz w:val="24"/>
          <w:szCs w:val="24"/>
        </w:rPr>
        <w:t xml:space="preserve">Ιδιαίτερο </w:t>
      </w:r>
      <w:r>
        <w:rPr>
          <w:rFonts w:asciiTheme="minorHAnsi" w:hAnsiTheme="minorHAnsi" w:cstheme="minorHAnsi"/>
          <w:b/>
          <w:bCs/>
          <w:sz w:val="24"/>
          <w:szCs w:val="24"/>
        </w:rPr>
        <w:t>Γραφείο Υπουργού</w:t>
      </w:r>
      <w:r>
        <w:rPr>
          <w:rFonts w:asciiTheme="minorHAnsi" w:hAnsiTheme="minorHAnsi" w:cstheme="minorHAnsi"/>
          <w:sz w:val="24"/>
          <w:szCs w:val="24"/>
        </w:rPr>
        <w:t xml:space="preserve"> συγκεντρώνει τα αναγκαία στοιχεία προς ενημέρωση του/της Υπουργού και προετοιμάζει για τις αναγκαίες ενέργειες τόσο σε επίπεδο σχεδιασμού, όσο και σε επίπεδο καθημερινότητας.</w:t>
      </w:r>
    </w:p>
    <w:p w14:paraId="12C6E71F" w14:textId="77777777" w:rsidR="002A2422" w:rsidRDefault="003B3AD7">
      <w:pPr>
        <w:spacing w:before="60" w:after="60"/>
        <w:rPr>
          <w:rFonts w:asciiTheme="minorHAnsi" w:hAnsiTheme="minorHAnsi" w:cstheme="minorHAnsi"/>
          <w:sz w:val="24"/>
          <w:szCs w:val="24"/>
        </w:rPr>
      </w:pPr>
      <w:r>
        <w:rPr>
          <w:rFonts w:asciiTheme="minorHAnsi" w:hAnsiTheme="minorHAnsi" w:cstheme="minorHAnsi"/>
          <w:b/>
          <w:sz w:val="24"/>
          <w:szCs w:val="24"/>
        </w:rPr>
        <w:t>Ο/η Υφυπουργός Πολιτισμού και Αθλητισμού</w:t>
      </w:r>
      <w:r>
        <w:rPr>
          <w:rFonts w:asciiTheme="minorHAnsi" w:hAnsiTheme="minorHAnsi" w:cstheme="minorHAnsi"/>
          <w:sz w:val="24"/>
          <w:szCs w:val="24"/>
        </w:rPr>
        <w:t xml:space="preserve"> (τομέας Αθλητισμού) είναι αρμόδιος για τα θέματα που αφορούν στον Αθλητισμό.</w:t>
      </w:r>
    </w:p>
    <w:p w14:paraId="739D5246" w14:textId="77777777" w:rsidR="002A2422" w:rsidRDefault="003B3AD7">
      <w:pPr>
        <w:spacing w:before="60" w:after="60"/>
        <w:rPr>
          <w:rFonts w:asciiTheme="minorHAnsi" w:hAnsiTheme="minorHAnsi" w:cstheme="minorHAnsi"/>
          <w:sz w:val="24"/>
          <w:szCs w:val="24"/>
        </w:rPr>
      </w:pPr>
      <w:r>
        <w:rPr>
          <w:rFonts w:asciiTheme="minorHAnsi" w:hAnsiTheme="minorHAnsi" w:cstheme="minorHAnsi"/>
          <w:b/>
          <w:bCs/>
          <w:sz w:val="24"/>
          <w:szCs w:val="24"/>
        </w:rPr>
        <w:t>Ο/η Υφυπουργός Πολιτισμού και Αθλητισμού</w:t>
      </w:r>
      <w:r>
        <w:rPr>
          <w:rFonts w:asciiTheme="minorHAnsi" w:hAnsiTheme="minorHAnsi" w:cstheme="minorHAnsi"/>
          <w:sz w:val="24"/>
          <w:szCs w:val="24"/>
        </w:rPr>
        <w:t xml:space="preserve"> (τομέας Σύγχρονου Πολιτισμού) αναλαμβάνει όλες τις αναγκαίες ενέργειες του Υπουργείου αναφορικά με τον Σύγχρονο Πολιτισμό.</w:t>
      </w:r>
    </w:p>
    <w:p w14:paraId="756A2DBE"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lang w:val="en-US"/>
        </w:rPr>
        <w:t>To</w:t>
      </w:r>
      <w:r>
        <w:rPr>
          <w:rFonts w:asciiTheme="minorHAnsi" w:hAnsiTheme="minorHAnsi" w:cstheme="minorHAnsi"/>
          <w:sz w:val="24"/>
          <w:szCs w:val="24"/>
        </w:rPr>
        <w:t xml:space="preserve"> ΥΠΠΟΑ, όπως προαναφέρθηκε, συγκροτείται από τρεις Γενικές Γραμματείες, τη Γενική Γραμματεία Πολιτισμού, τη Γενική Γραμματεία Σύγχρονου Πολιτισμού και τη Γενική Γραμματεία </w:t>
      </w:r>
      <w:r>
        <w:rPr>
          <w:rFonts w:asciiTheme="minorHAnsi" w:hAnsiTheme="minorHAnsi" w:cstheme="minorHAnsi"/>
          <w:sz w:val="24"/>
          <w:szCs w:val="24"/>
        </w:rPr>
        <w:lastRenderedPageBreak/>
        <w:t>Αθλητισμού των οποίων προΐστανται οι αντίστοιχοι Γενικοί Γραμματείς, ανά θεματικό άξονα και τις Γενικές Διευθύνσεις Οικονομικών Υπηρεσιών και Διοικητικής Υποστήριξης και Ηλεκτρονικής Διακυβέρνησης που υπάγονται στον Υπηρεσιακό Γραμματέα.</w:t>
      </w:r>
    </w:p>
    <w:p w14:paraId="0569C03F" w14:textId="77777777" w:rsidR="002A2422" w:rsidRDefault="002A2422">
      <w:pPr>
        <w:spacing w:before="60" w:after="60"/>
        <w:rPr>
          <w:rFonts w:asciiTheme="minorHAnsi" w:hAnsiTheme="minorHAnsi" w:cstheme="minorHAnsi"/>
          <w:sz w:val="24"/>
          <w:szCs w:val="24"/>
        </w:rPr>
      </w:pPr>
    </w:p>
    <w:p w14:paraId="4500EBDB" w14:textId="77777777" w:rsidR="002A2422" w:rsidRDefault="003B3AD7">
      <w:pPr>
        <w:spacing w:before="60" w:after="60"/>
        <w:rPr>
          <w:rFonts w:asciiTheme="minorHAnsi" w:hAnsiTheme="minorHAnsi" w:cstheme="minorHAnsi"/>
          <w:sz w:val="24"/>
          <w:szCs w:val="24"/>
        </w:rPr>
      </w:pPr>
      <w:r>
        <w:rPr>
          <w:rFonts w:asciiTheme="minorHAnsi" w:hAnsiTheme="minorHAnsi" w:cstheme="minorHAnsi"/>
          <w:b/>
          <w:sz w:val="24"/>
          <w:szCs w:val="24"/>
        </w:rPr>
        <w:t>(1)</w:t>
      </w:r>
      <w:r>
        <w:rPr>
          <w:rFonts w:asciiTheme="minorHAnsi" w:hAnsiTheme="minorHAnsi" w:cstheme="minorHAnsi"/>
          <w:sz w:val="24"/>
          <w:szCs w:val="24"/>
        </w:rPr>
        <w:t xml:space="preserve"> Στη </w:t>
      </w:r>
      <w:r>
        <w:rPr>
          <w:rFonts w:asciiTheme="minorHAnsi" w:hAnsiTheme="minorHAnsi" w:cstheme="minorHAnsi"/>
          <w:b/>
          <w:bCs/>
          <w:sz w:val="24"/>
          <w:szCs w:val="24"/>
        </w:rPr>
        <w:t>Γενική Γραμματεία Πολιτισμού</w:t>
      </w:r>
      <w:r>
        <w:rPr>
          <w:rFonts w:asciiTheme="minorHAnsi" w:hAnsiTheme="minorHAnsi" w:cstheme="minorHAnsi"/>
          <w:sz w:val="24"/>
          <w:szCs w:val="24"/>
        </w:rPr>
        <w:t xml:space="preserve"> υπάγονται το Γραφείο του Γενικού Γραμματέα Πολιτισμού, η Γενική Διεύθυνση Αρχαιοτήτων και Πολιτιστικής Κληρονομιάς, η Γενική Διεύθυνση Αναστήλωσης Μουσείων και Τεχνικών Έργων και η Υπηρεσία Συντήρησης Μνημείων της Ακρόπολης</w:t>
      </w:r>
    </w:p>
    <w:p w14:paraId="4F650886"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Η Γενική Διεύθυνση Αρχαιοτήτων και Πολιτιστικής Κληρονομιάς, αποσκοπεί στην διαμόρφωση και εποπτεία της πολιτικής για την προστασία, διάσωση, ανεύρεση, συντήρηση, ανάδειξη και προβολή της πολιτιστικής κληρονομιάς με στόχο την εύρυθμη και αποτελεσματική λειτουργία. Στην εν λόγω Γενική Διεύθυνση υπάγονται έξι [6] Κεντρικές Υπηρεσιακές Μονάδες, πενήντα τρεις [53] Περιφερειακές υπηρεσιακές Μονάδες (Εφορείες Αρχαιοτήτων), καθώς και δώδεκα [12] Ειδικές Περιφερειακές υπηρεσιακές Μονάδες. Η Γενική Διεύθυνση Αναστήλωσης Μουσείων και Τεχνικών Έργων είναι αρμόδια για τον συντονισμό ενεργειών αναστήλωσης, Μουσείων και Τεχνικών Έργων. Έχει έξι [6] υπαγόμενες Κεντρικές Υπηρεσιακές Μονάδες και εννέα [9] υπαγόμενες Περιφερειακές Υπηρεσιακές Μονάδες. Η Υπηρεσία Συντήρησης Μνημείων Ακρόπολης (ΥΣΜΑ) είναι ειδική δημόσια υπηρεσία του Υπουργείου Πολιτισμού και Αθλητισμού και έχει ως αποστολή την οργάνωση και υλοποίηση των έργων συντήρησης, αναστήλωσης και ανάδειξης των μνημείων της Αθηναϊκής Ακρόπολης.</w:t>
      </w:r>
    </w:p>
    <w:p w14:paraId="7204DFF5" w14:textId="77777777" w:rsidR="002A2422" w:rsidRDefault="002A2422">
      <w:pPr>
        <w:spacing w:before="60" w:after="60"/>
        <w:rPr>
          <w:rFonts w:asciiTheme="minorHAnsi" w:hAnsiTheme="minorHAnsi" w:cstheme="minorHAnsi"/>
          <w:sz w:val="24"/>
          <w:szCs w:val="24"/>
        </w:rPr>
      </w:pPr>
    </w:p>
    <w:p w14:paraId="4010ADB2" w14:textId="77777777" w:rsidR="002A2422" w:rsidRDefault="003B3AD7">
      <w:pPr>
        <w:spacing w:before="60" w:after="60"/>
        <w:rPr>
          <w:rFonts w:asciiTheme="minorHAnsi" w:hAnsiTheme="minorHAnsi" w:cstheme="minorHAnsi"/>
          <w:sz w:val="24"/>
          <w:szCs w:val="24"/>
        </w:rPr>
      </w:pPr>
      <w:r>
        <w:rPr>
          <w:rFonts w:asciiTheme="minorHAnsi" w:hAnsiTheme="minorHAnsi" w:cstheme="minorHAnsi"/>
          <w:b/>
          <w:sz w:val="24"/>
          <w:szCs w:val="24"/>
        </w:rPr>
        <w:t>(2)</w:t>
      </w:r>
      <w:r>
        <w:rPr>
          <w:rFonts w:asciiTheme="minorHAnsi" w:hAnsiTheme="minorHAnsi" w:cstheme="minorHAnsi"/>
          <w:sz w:val="24"/>
          <w:szCs w:val="24"/>
        </w:rPr>
        <w:t xml:space="preserve"> Στη </w:t>
      </w:r>
      <w:r>
        <w:rPr>
          <w:rFonts w:asciiTheme="minorHAnsi" w:hAnsiTheme="minorHAnsi" w:cstheme="minorHAnsi"/>
          <w:b/>
          <w:sz w:val="24"/>
          <w:szCs w:val="24"/>
        </w:rPr>
        <w:t>Γενική</w:t>
      </w:r>
      <w:r>
        <w:rPr>
          <w:rFonts w:asciiTheme="minorHAnsi" w:hAnsiTheme="minorHAnsi" w:cstheme="minorHAnsi"/>
          <w:sz w:val="24"/>
          <w:szCs w:val="24"/>
        </w:rPr>
        <w:t xml:space="preserve"> </w:t>
      </w:r>
      <w:r>
        <w:rPr>
          <w:rFonts w:asciiTheme="minorHAnsi" w:hAnsiTheme="minorHAnsi" w:cstheme="minorHAnsi"/>
          <w:b/>
          <w:bCs/>
          <w:sz w:val="24"/>
          <w:szCs w:val="24"/>
        </w:rPr>
        <w:t xml:space="preserve">Γραμματεία Σύγχρονου Πολιτισμού </w:t>
      </w:r>
      <w:r>
        <w:rPr>
          <w:rFonts w:asciiTheme="minorHAnsi" w:hAnsiTheme="minorHAnsi" w:cstheme="minorHAnsi"/>
          <w:sz w:val="24"/>
          <w:szCs w:val="24"/>
        </w:rPr>
        <w:t xml:space="preserve">υπάγονται το Γραφείο του Γενικού Γραμματέα Σύγχρονου Πολιτισμού και  η Γενική Διεύθυνση Σύγχρονου Πολιτισμού. </w:t>
      </w:r>
    </w:p>
    <w:p w14:paraId="5AE44A86" w14:textId="77777777" w:rsidR="002A2422" w:rsidRDefault="003B3AD7">
      <w:pPr>
        <w:pStyle w:val="a6"/>
        <w:spacing w:before="60" w:after="60" w:line="360" w:lineRule="auto"/>
        <w:rPr>
          <w:rFonts w:asciiTheme="minorHAnsi" w:eastAsia="Times New Roman" w:hAnsiTheme="minorHAnsi" w:cstheme="minorHAnsi"/>
          <w:sz w:val="24"/>
          <w:szCs w:val="24"/>
        </w:rPr>
      </w:pPr>
      <w:r>
        <w:rPr>
          <w:rFonts w:asciiTheme="minorHAnsi" w:hAnsiTheme="minorHAnsi" w:cstheme="minorHAnsi"/>
          <w:sz w:val="24"/>
          <w:szCs w:val="24"/>
        </w:rPr>
        <w:t xml:space="preserve">Στη Γενική Διεύθυνση Σύγχρονου Πολιτισμού υπάγονται έξι κεντρικές υπηρεσιακές μονάδες: Η Διεύθυνση Ανάπτυξης Σύγχρονης Δημιουργίας, η Διεύθυνση Γραμμάτων, η Διεύθυνση Εικαστικών, Αρχιτεκτονικής, Φωτογραφίας και Μουσείων Σύγχρονου Πολιτισμού, η Διεύθυνση </w:t>
      </w:r>
      <w:r>
        <w:rPr>
          <w:rFonts w:asciiTheme="minorHAnsi" w:hAnsiTheme="minorHAnsi" w:cstheme="minorHAnsi"/>
          <w:sz w:val="24"/>
          <w:szCs w:val="24"/>
        </w:rPr>
        <w:lastRenderedPageBreak/>
        <w:t>Καλλιτεχνικής Εκπαίδευσης, η Διεύθυνση</w:t>
      </w:r>
      <w:r>
        <w:rPr>
          <w:rFonts w:asciiTheme="minorHAnsi" w:eastAsia="Times New Roman" w:hAnsiTheme="minorHAnsi" w:cstheme="minorHAnsi"/>
          <w:sz w:val="24"/>
          <w:szCs w:val="24"/>
        </w:rPr>
        <w:t xml:space="preserve"> Παραστατικών Τεχνών και η Διεύθυνση Πολιτιστικών Δράσεων και Εποπτείας </w:t>
      </w:r>
    </w:p>
    <w:p w14:paraId="030BCDC0" w14:textId="77777777" w:rsidR="002A2422" w:rsidRDefault="002A2422">
      <w:pPr>
        <w:pStyle w:val="a6"/>
        <w:spacing w:before="60" w:after="60" w:line="360" w:lineRule="auto"/>
        <w:rPr>
          <w:rFonts w:asciiTheme="minorHAnsi" w:hAnsiTheme="minorHAnsi" w:cstheme="minorHAnsi"/>
          <w:sz w:val="24"/>
          <w:szCs w:val="24"/>
        </w:rPr>
      </w:pPr>
    </w:p>
    <w:p w14:paraId="76E0F4C5" w14:textId="77777777" w:rsidR="002A2422" w:rsidRDefault="003B3AD7">
      <w:pPr>
        <w:spacing w:before="60" w:after="60" w:line="324" w:lineRule="auto"/>
        <w:rPr>
          <w:rFonts w:asciiTheme="minorHAnsi" w:hAnsiTheme="minorHAnsi" w:cstheme="minorHAnsi"/>
          <w:sz w:val="24"/>
          <w:szCs w:val="24"/>
        </w:rPr>
      </w:pPr>
      <w:r>
        <w:rPr>
          <w:rFonts w:asciiTheme="minorHAnsi" w:hAnsiTheme="minorHAnsi" w:cstheme="minorHAnsi"/>
          <w:sz w:val="24"/>
          <w:szCs w:val="24"/>
        </w:rPr>
        <w:t xml:space="preserve">Στη </w:t>
      </w:r>
      <w:r>
        <w:rPr>
          <w:rFonts w:asciiTheme="minorHAnsi" w:hAnsiTheme="minorHAnsi" w:cstheme="minorHAnsi"/>
          <w:b/>
          <w:sz w:val="24"/>
          <w:szCs w:val="24"/>
        </w:rPr>
        <w:t xml:space="preserve">Γενική Γραμματεία Αθλητισμού </w:t>
      </w:r>
      <w:r>
        <w:rPr>
          <w:rFonts w:asciiTheme="minorHAnsi" w:hAnsiTheme="minorHAnsi" w:cstheme="minorHAnsi"/>
          <w:sz w:val="24"/>
          <w:szCs w:val="24"/>
        </w:rPr>
        <w:t xml:space="preserve">υπάγεται το γραφείο του Γενικού Γραμματέα Αθλητισμού. Η υπηρεσία συγκροτείται από μια Γενική Διεύθυνση, την Γενική Διεύθυνση Οργάνωσης Αθλητισμού. Η Γενική Διεύθυνση Οργάνωσης Αθλητισμού συγκροτείται από τις ακόλουθες οργανικές μονάδες: τη Διεύθυνση Αγωνιστικού Αθλητισμού, τη Διεύθυνση Επαγγελματικού Αθλητισμού και Επαγγελμάτων Αθλητισμού, τη Διεύθυνση Άθλησης για Όλους, Προβολής, Ανάπτυξης Αθλητισμού, Επιστημονικής Υποστήριξης και Διεθνών Σχέσεων, τη Διεύθυνση Τεχνικών Αθλητικών Έργων και Υποδομών και τη Διεύθυνση Υποστήριξης Αθλητισμού. Επιπλέον, τα εξής Αυτοτελή Τμήματα και Γραφεία λειτουργούν υπό την άμεση εποπτεία του Υφυπουργού: το </w:t>
      </w:r>
      <w:r>
        <w:rPr>
          <w:rFonts w:asciiTheme="minorHAnsi" w:hAnsiTheme="minorHAnsi"/>
          <w:sz w:val="24"/>
          <w:szCs w:val="24"/>
        </w:rPr>
        <w:t>Αυτοτελές Τμήμα Νομοθετικής Επεξεργασίας και Κοινοβουλευτικού Ελέγχου, το Τμήμα Εσωτερικού Ελέγχου και Ελέγχου Εποπτευομένων Φορέων της Γενικής Γραμματείας Αθλητισμού, το Αυτοτελές Τμήμα Γραμματείας Επιτροπής Επαγγελματικού Αθλητισμού, το Γραφείο Νομικού Συμβούλου του Κράτους για τα θέματα που αφορούν στη Γενική Γραμματεία Αθλητισμού, το Γραφείο Τύπου και Δημοσίων Σχέσεων για θέματα αρμοδιότητας της Γενικής Γραμματείας Αθλητισμού.</w:t>
      </w:r>
    </w:p>
    <w:p w14:paraId="2F1B2859" w14:textId="77777777" w:rsidR="002A2422" w:rsidRDefault="002A2422"/>
    <w:p w14:paraId="3FE7B5C6" w14:textId="77777777" w:rsidR="002A2422" w:rsidRDefault="003B3AD7">
      <w:pPr>
        <w:spacing w:before="60" w:after="60" w:line="336" w:lineRule="auto"/>
        <w:rPr>
          <w:rFonts w:asciiTheme="minorHAnsi" w:hAnsiTheme="minorHAnsi" w:cstheme="minorHAnsi"/>
          <w:sz w:val="24"/>
          <w:szCs w:val="24"/>
        </w:rPr>
      </w:pPr>
      <w:r>
        <w:rPr>
          <w:rFonts w:asciiTheme="minorHAnsi" w:hAnsiTheme="minorHAnsi" w:cstheme="minorHAnsi"/>
          <w:b/>
          <w:sz w:val="24"/>
          <w:szCs w:val="24"/>
        </w:rPr>
        <w:t>(4)</w:t>
      </w:r>
      <w:r>
        <w:rPr>
          <w:rFonts w:asciiTheme="minorHAnsi" w:hAnsiTheme="minorHAnsi" w:cstheme="minorHAnsi"/>
        </w:rPr>
        <w:t xml:space="preserve"> </w:t>
      </w:r>
      <w:r>
        <w:rPr>
          <w:rFonts w:asciiTheme="minorHAnsi" w:hAnsiTheme="minorHAnsi" w:cstheme="minorHAnsi"/>
          <w:sz w:val="24"/>
          <w:szCs w:val="24"/>
        </w:rPr>
        <w:t xml:space="preserve">Στον </w:t>
      </w:r>
      <w:r>
        <w:rPr>
          <w:rFonts w:asciiTheme="minorHAnsi" w:hAnsiTheme="minorHAnsi" w:cstheme="minorHAnsi"/>
          <w:b/>
          <w:bCs/>
          <w:sz w:val="24"/>
          <w:szCs w:val="24"/>
        </w:rPr>
        <w:t xml:space="preserve">Υπηρεσιακό Γραμματέα </w:t>
      </w:r>
      <w:r>
        <w:rPr>
          <w:rFonts w:asciiTheme="minorHAnsi" w:hAnsiTheme="minorHAnsi" w:cstheme="minorHAnsi"/>
          <w:sz w:val="24"/>
          <w:szCs w:val="24"/>
        </w:rPr>
        <w:t xml:space="preserve">υπάγονται η Γενική Διεύθυνση Οικονομικών Υπηρεσιών, η </w:t>
      </w:r>
      <w:r>
        <w:rPr>
          <w:rFonts w:asciiTheme="minorHAnsi" w:hAnsiTheme="minorHAnsi" w:cstheme="minorHAnsi"/>
          <w:bCs/>
          <w:sz w:val="24"/>
          <w:szCs w:val="24"/>
        </w:rPr>
        <w:t>Γενική Διεύθυνση Διοικητικής Υποστήριξης</w:t>
      </w:r>
      <w:r>
        <w:rPr>
          <w:rFonts w:asciiTheme="minorHAnsi" w:hAnsiTheme="minorHAnsi" w:cstheme="minorHAnsi"/>
          <w:sz w:val="24"/>
          <w:szCs w:val="24"/>
        </w:rPr>
        <w:t xml:space="preserve"> </w:t>
      </w:r>
      <w:r>
        <w:rPr>
          <w:rFonts w:asciiTheme="minorHAnsi" w:hAnsiTheme="minorHAnsi" w:cstheme="minorHAnsi"/>
          <w:bCs/>
          <w:sz w:val="24"/>
          <w:szCs w:val="24"/>
        </w:rPr>
        <w:t xml:space="preserve">και Ηλεκτρονικής Διακυβέρνησης, η Διεύθυνση Συντονισμού (υπό σύσταση) και το Γραφείο του Υπηρεσιακού Γραμματέα. Η Γενική Διεύθυνση Οικονομικών Υπηρεσιών συγκροτείται από 4 Διευθύνσεις και ένα Αυτοτελές Τμήμα </w:t>
      </w:r>
      <w:r>
        <w:rPr>
          <w:rFonts w:asciiTheme="minorHAnsi" w:hAnsiTheme="minorHAnsi" w:cstheme="minorHAnsi"/>
          <w:sz w:val="24"/>
          <w:szCs w:val="24"/>
        </w:rPr>
        <w:t>με κύριες αρμοδιότητες την ενιαία οικονομική διαχείριση και τον έλεγχο των οικονομικών υποθέσεων και των λειτουργιών του Υπουργείου και των Εποπτευόμενων από αυτό φορέων σύμφωνα με τις αρχές και τους κανόνες της χρηστής δημοσιονομικής διαχείρισης. Η Γενική Διεύθυνση Διοικητικής Υποστήριξης και Ηλεκτρονικής Διακυβέρνησης συγκροτείται από δύο Διευθύνσεις με ευθύνη τη διαχείριση του ανθρώπινου δυναμικού, τον σχεδιασμό και υλοποίηση πολιτικών για τη βελτίωση της αποδοτικότητας και την ηλεκτρονική διακυβέρνηση.</w:t>
      </w:r>
    </w:p>
    <w:p w14:paraId="373545CC" w14:textId="77777777" w:rsidR="002A2422" w:rsidRDefault="002A2422">
      <w:pPr>
        <w:rPr>
          <w:rFonts w:asciiTheme="minorHAnsi" w:hAnsiTheme="minorHAnsi" w:cstheme="minorHAnsi"/>
          <w:sz w:val="24"/>
          <w:szCs w:val="24"/>
        </w:rPr>
      </w:pPr>
    </w:p>
    <w:p w14:paraId="11C366EC" w14:textId="77777777" w:rsidR="002A2422" w:rsidRDefault="003B3AD7">
      <w:pPr>
        <w:rPr>
          <w:rFonts w:asciiTheme="minorHAnsi" w:hAnsiTheme="minorHAnsi" w:cstheme="minorHAnsi"/>
          <w:sz w:val="24"/>
          <w:szCs w:val="24"/>
        </w:rPr>
      </w:pPr>
      <w:r>
        <w:rPr>
          <w:rFonts w:asciiTheme="minorHAnsi" w:hAnsiTheme="minorHAnsi" w:cstheme="minorHAnsi"/>
          <w:b/>
          <w:sz w:val="24"/>
          <w:szCs w:val="24"/>
        </w:rPr>
        <w:lastRenderedPageBreak/>
        <w:t>(5)</w:t>
      </w:r>
      <w:r>
        <w:rPr>
          <w:rFonts w:asciiTheme="minorHAnsi" w:hAnsiTheme="minorHAnsi" w:cstheme="minorHAnsi"/>
          <w:sz w:val="24"/>
          <w:szCs w:val="24"/>
        </w:rPr>
        <w:t xml:space="preserve"> Στο ΥΠΠΟΑ υπάγονται και οι παρακάτω Αυτοτελείς Διευθύνσεις και Τμήματα:</w:t>
      </w:r>
    </w:p>
    <w:p w14:paraId="10502DF9" w14:textId="77777777" w:rsidR="002A2422" w:rsidRDefault="003B3AD7">
      <w:pPr>
        <w:rPr>
          <w:rFonts w:asciiTheme="minorHAnsi" w:hAnsiTheme="minorHAnsi" w:cstheme="minorHAnsi"/>
          <w:sz w:val="24"/>
          <w:szCs w:val="24"/>
        </w:rPr>
      </w:pPr>
      <w:r>
        <w:rPr>
          <w:rFonts w:asciiTheme="minorHAnsi" w:hAnsiTheme="minorHAnsi" w:cstheme="minorHAnsi"/>
          <w:sz w:val="24"/>
          <w:szCs w:val="24"/>
        </w:rPr>
        <w:t xml:space="preserve">Η </w:t>
      </w:r>
      <w:r>
        <w:rPr>
          <w:rFonts w:asciiTheme="minorHAnsi" w:hAnsiTheme="minorHAnsi" w:cstheme="minorHAnsi"/>
          <w:b/>
          <w:bCs/>
          <w:sz w:val="24"/>
          <w:szCs w:val="24"/>
        </w:rPr>
        <w:t>Διεύθυνση Διεθνών Σχέσεων και Ευρωπαϊκής Ένωσης</w:t>
      </w:r>
      <w:r>
        <w:rPr>
          <w:rFonts w:asciiTheme="minorHAnsi" w:hAnsiTheme="minorHAnsi" w:cstheme="minorHAnsi"/>
          <w:sz w:val="24"/>
          <w:szCs w:val="24"/>
        </w:rPr>
        <w:t xml:space="preserve"> παρακολουθεί, συμμετέχει και προωθεί τα θέματα Πολιτισμού και Αθλητισμού σε ευρωπαϊκό και διεθνές επίπεδο. ​Παράλληλα συντονίζει σε εθνικό επίπεδο τα εθνικά δίκτυα και τους μηχανισμούς διακυβέρνησης της Ε.Ε. για ζητήματα που εμπίπτουν στην αρμοδιότητα του Υπουργείου και συμμετέχει στη διαμόρφωση και εφαρμογή νέων κοινοτικών δράσεων και δικτύων διευρωπαϊκής συνεργασίας.</w:t>
      </w:r>
    </w:p>
    <w:p w14:paraId="6F0072CF" w14:textId="77777777" w:rsidR="002A2422" w:rsidRDefault="003B3AD7">
      <w:pPr>
        <w:spacing w:before="60" w:after="60" w:line="324" w:lineRule="auto"/>
        <w:rPr>
          <w:rFonts w:asciiTheme="minorHAnsi" w:hAnsiTheme="minorHAnsi" w:cstheme="minorHAnsi"/>
          <w:sz w:val="24"/>
          <w:szCs w:val="24"/>
        </w:rPr>
      </w:pPr>
      <w:r>
        <w:rPr>
          <w:rFonts w:asciiTheme="minorHAnsi" w:hAnsiTheme="minorHAnsi" w:cstheme="minorHAnsi"/>
          <w:sz w:val="24"/>
          <w:szCs w:val="24"/>
        </w:rPr>
        <w:t xml:space="preserve">Η </w:t>
      </w:r>
      <w:r>
        <w:rPr>
          <w:rFonts w:asciiTheme="minorHAnsi" w:hAnsiTheme="minorHAnsi" w:cstheme="minorHAnsi"/>
          <w:b/>
          <w:bCs/>
          <w:sz w:val="24"/>
          <w:szCs w:val="24"/>
        </w:rPr>
        <w:t xml:space="preserve">Μονάδα Εσωτερικού Ελέγχου </w:t>
      </w:r>
      <w:r>
        <w:rPr>
          <w:rFonts w:asciiTheme="minorHAnsi" w:hAnsiTheme="minorHAnsi" w:cstheme="minorHAnsi"/>
          <w:sz w:val="24"/>
          <w:szCs w:val="24"/>
        </w:rPr>
        <w:t>η οποία λειτουργεί σε επίπεδο Διεύθυνσης και είναι αρμόδια για το Υπουργείο Πολιτισμού και Αθλητισμού και τους εποπτευόμενους από αυτό φορείς, οι οποίοι δεν έχουν δική τους Μονάδα Εσωτερικού Ελέγχου, επικεντρώνεται στο διαρκή έλεγχο των συστημάτων διακυβέρνησης, σε ενέργειες βελτίωσης της αποτελεσματικότητας και την αξιολόγηση των στόχων που έχουν τεθεί.</w:t>
      </w:r>
    </w:p>
    <w:p w14:paraId="7F4168BB" w14:textId="77777777" w:rsidR="002A2422" w:rsidRDefault="003B3AD7">
      <w:r>
        <w:rPr>
          <w:rFonts w:asciiTheme="minorHAnsi" w:hAnsiTheme="minorHAnsi" w:cstheme="minorHAnsi"/>
          <w:sz w:val="24"/>
          <w:szCs w:val="24"/>
        </w:rPr>
        <w:t> </w:t>
      </w:r>
    </w:p>
    <w:p w14:paraId="0B5BBFC1" w14:textId="77777777" w:rsidR="002A2422" w:rsidRDefault="003B3AD7">
      <w:pPr>
        <w:spacing w:before="60" w:after="60" w:line="336" w:lineRule="auto"/>
        <w:rPr>
          <w:rFonts w:asciiTheme="minorHAnsi" w:hAnsiTheme="minorHAnsi" w:cstheme="minorHAnsi"/>
          <w:sz w:val="24"/>
          <w:szCs w:val="24"/>
        </w:rPr>
      </w:pPr>
      <w:r>
        <w:rPr>
          <w:rFonts w:asciiTheme="minorHAnsi" w:hAnsiTheme="minorHAnsi" w:cstheme="minorHAnsi"/>
          <w:sz w:val="24"/>
          <w:szCs w:val="24"/>
        </w:rPr>
        <w:t xml:space="preserve">Το </w:t>
      </w:r>
      <w:r>
        <w:rPr>
          <w:rFonts w:asciiTheme="minorHAnsi" w:hAnsiTheme="minorHAnsi" w:cstheme="minorHAnsi"/>
          <w:b/>
          <w:bCs/>
          <w:sz w:val="24"/>
          <w:szCs w:val="24"/>
        </w:rPr>
        <w:t>Αυτοτελές Τμήμα Νομοθετικού Έργου και Κοινοβουλευτικού Ελέγχου</w:t>
      </w:r>
      <w:r>
        <w:rPr>
          <w:rFonts w:asciiTheme="minorHAnsi" w:hAnsiTheme="minorHAnsi" w:cstheme="minorHAnsi"/>
          <w:sz w:val="24"/>
          <w:szCs w:val="24"/>
        </w:rPr>
        <w:t xml:space="preserve"> είναι αρμόδιο για τον προγραμματισμό του νομοθετικού έργου του Υπουργείου, σε συνεργασία με τις συναρμόδιες υπηρεσίες του Υπουργείου και την ενημέρωση των αρμόδιων αρχών καθώς και την παροχή της αναγκαίας τεχνογνωσίας για την τήρηση των αρχών καλής νομοθέτησης στις αρμόδιες καθ’ ύλην υπηρεσίες που αναλαμβάνουν την εκπόνηση ή την απλούστευση ρυθμίσεων. Παράλληλα μεριμνά σε συνεργασία με τη Γενική Γραμματεία της Κυβέρνησης για τη διενέργεια κοινωνικού διαλόγου και διαβουλεύσεων, όπου είναι αναγκαίο και προβαίνει σε αξιολόγηση </w:t>
      </w:r>
      <w:proofErr w:type="spellStart"/>
      <w:r>
        <w:rPr>
          <w:rFonts w:asciiTheme="minorHAnsi" w:hAnsiTheme="minorHAnsi" w:cstheme="minorHAnsi"/>
          <w:sz w:val="24"/>
          <w:szCs w:val="24"/>
        </w:rPr>
        <w:t>εφαρμοσιμότητας</w:t>
      </w:r>
      <w:proofErr w:type="spellEnd"/>
      <w:r>
        <w:rPr>
          <w:rFonts w:asciiTheme="minorHAnsi" w:hAnsiTheme="minorHAnsi" w:cstheme="minorHAnsi"/>
          <w:sz w:val="24"/>
          <w:szCs w:val="24"/>
        </w:rPr>
        <w:t xml:space="preserve"> των διατάξεων.</w:t>
      </w:r>
    </w:p>
    <w:p w14:paraId="59D7FF4A" w14:textId="77777777" w:rsidR="002A2422" w:rsidRDefault="003B3AD7">
      <w:pPr>
        <w:spacing w:before="60" w:after="60" w:line="336" w:lineRule="auto"/>
        <w:rPr>
          <w:rFonts w:asciiTheme="minorHAnsi" w:hAnsiTheme="minorHAnsi" w:cstheme="minorHAnsi"/>
          <w:sz w:val="24"/>
          <w:szCs w:val="24"/>
        </w:rPr>
      </w:pPr>
      <w:r>
        <w:rPr>
          <w:rFonts w:asciiTheme="minorHAnsi" w:hAnsiTheme="minorHAnsi" w:cstheme="minorHAnsi"/>
          <w:b/>
          <w:bCs/>
          <w:sz w:val="24"/>
          <w:szCs w:val="24"/>
        </w:rPr>
        <w:t>Το Αυτοτελές Τμήμα Στρατηγικού Σχεδιασμού</w:t>
      </w:r>
      <w:r>
        <w:rPr>
          <w:rFonts w:asciiTheme="minorHAnsi" w:hAnsiTheme="minorHAnsi" w:cstheme="minorHAnsi"/>
          <w:sz w:val="24"/>
          <w:szCs w:val="24"/>
        </w:rPr>
        <w:t xml:space="preserve"> είναι αρμόδιο για την κατάρτιση μακροπρόθεσμου στρατηγικού σχεδιασμού και πολιτικών σε σχέση με τον Πολιτισμό σε συνεργασία με τις αρμόδιες διευθύνσεις, όλα τις αναγκαίες ενέργειες σχεδιασμού, τη διαμόρφωση διαδικασιών για την υλοποίηση του σχεδιασμού, καθώς και την παρακολούθηση των συγχρηματοδοτούμενων προγραμμάτων του Υπουργείου. Επιπρόσθετα ασχολείται με την παρακολούθηση των μεσοπρόθεσμων και μακροπρόθεσμων στόχων της πολιτικής που έχει χαραχθεί, ώστε να είναι στον σωστό χρονισμό υλοποίησης.</w:t>
      </w:r>
    </w:p>
    <w:p w14:paraId="4E69B238" w14:textId="77777777" w:rsidR="002A2422" w:rsidRDefault="003B3AD7">
      <w:pPr>
        <w:spacing w:before="60" w:after="60" w:line="336" w:lineRule="auto"/>
        <w:rPr>
          <w:rFonts w:asciiTheme="minorHAnsi" w:hAnsiTheme="minorHAnsi" w:cstheme="minorHAnsi"/>
          <w:sz w:val="24"/>
          <w:szCs w:val="24"/>
        </w:rPr>
      </w:pPr>
      <w:r>
        <w:rPr>
          <w:rFonts w:asciiTheme="minorHAnsi" w:hAnsiTheme="minorHAnsi" w:cstheme="minorHAnsi"/>
          <w:b/>
          <w:bCs/>
          <w:sz w:val="24"/>
          <w:szCs w:val="24"/>
        </w:rPr>
        <w:lastRenderedPageBreak/>
        <w:t xml:space="preserve">Το Αυτοτελές Τμήμα Τύπου, Επικοινωνίας και Προβολής </w:t>
      </w:r>
      <w:r>
        <w:rPr>
          <w:rFonts w:asciiTheme="minorHAnsi" w:hAnsiTheme="minorHAnsi" w:cstheme="minorHAnsi"/>
          <w:sz w:val="24"/>
          <w:szCs w:val="24"/>
        </w:rPr>
        <w:t>επικεντρώνεται στην αξιοποίηση του υλικού και των αποτελεσμάτων των στρατηγικών που εφαρμόζονται στο πλαίσιο της πολιτιστικής πολιτικής καθώς και την οργάνωση δράσεων δημοσιότητας για την προώθηση και προβολή κεντρικών πολιτικών, και κάθε άλλη ενέργεια προβολής, όπως τις επαφές με τα διεθνή και εγχώρια μέσα και τις εγχώριες δράσεις προβολής του πολιτιστικού αποθέματος και της σύγχρονης καλλιτεχνικής δημιουργίας.</w:t>
      </w:r>
    </w:p>
    <w:p w14:paraId="47E6DD3E" w14:textId="77777777" w:rsidR="002A2422" w:rsidRDefault="003B3AD7">
      <w:pPr>
        <w:spacing w:before="60" w:after="60" w:line="324" w:lineRule="auto"/>
        <w:rPr>
          <w:rFonts w:asciiTheme="minorHAnsi" w:hAnsiTheme="minorHAnsi" w:cstheme="minorHAnsi"/>
          <w:sz w:val="24"/>
          <w:szCs w:val="24"/>
        </w:rPr>
      </w:pPr>
      <w:r>
        <w:rPr>
          <w:rFonts w:asciiTheme="minorHAnsi" w:hAnsiTheme="minorHAnsi" w:cstheme="minorHAnsi"/>
          <w:sz w:val="24"/>
          <w:szCs w:val="24"/>
        </w:rPr>
        <w:t xml:space="preserve">Το </w:t>
      </w:r>
      <w:r>
        <w:rPr>
          <w:rFonts w:asciiTheme="minorHAnsi" w:hAnsiTheme="minorHAnsi" w:cstheme="minorHAnsi"/>
          <w:b/>
          <w:bCs/>
          <w:sz w:val="24"/>
          <w:szCs w:val="24"/>
        </w:rPr>
        <w:t xml:space="preserve">Αυτοτελές Τμήμα Δημοσίων Σχέσεων και Εθιμοτυπίας </w:t>
      </w:r>
      <w:r>
        <w:rPr>
          <w:rFonts w:asciiTheme="minorHAnsi" w:hAnsiTheme="minorHAnsi" w:cstheme="minorHAnsi"/>
          <w:sz w:val="24"/>
          <w:szCs w:val="24"/>
        </w:rPr>
        <w:t>ασχολείται με τον σχεδιασμό και τη διεκπεραίωση ενεργειών προβολής, καθώς και τις ενέργειες εθιμοτυπίας σε εθνικό και διεθνές επίπεδο. Επιπρόσθετα ασχολείται με τη διοργάνωση και πραγματοποίηση πάσης φύσεως εκδηλώσεων.</w:t>
      </w:r>
    </w:p>
    <w:p w14:paraId="7EC277A0" w14:textId="77777777" w:rsidR="002A2422" w:rsidRDefault="003B3AD7">
      <w:pPr>
        <w:spacing w:before="60" w:after="60" w:line="324" w:lineRule="auto"/>
        <w:rPr>
          <w:rFonts w:asciiTheme="minorHAnsi" w:hAnsiTheme="minorHAnsi" w:cstheme="minorHAnsi"/>
          <w:sz w:val="24"/>
          <w:szCs w:val="24"/>
        </w:rPr>
      </w:pPr>
      <w:r>
        <w:rPr>
          <w:rFonts w:asciiTheme="minorHAnsi" w:hAnsiTheme="minorHAnsi" w:cstheme="minorHAnsi"/>
          <w:sz w:val="24"/>
          <w:szCs w:val="24"/>
        </w:rPr>
        <w:t xml:space="preserve">Στις αρμοδιότητες του </w:t>
      </w:r>
      <w:r>
        <w:rPr>
          <w:rFonts w:asciiTheme="minorHAnsi" w:hAnsiTheme="minorHAnsi" w:cstheme="minorHAnsi"/>
          <w:b/>
          <w:bCs/>
          <w:sz w:val="24"/>
          <w:szCs w:val="24"/>
        </w:rPr>
        <w:t xml:space="preserve">Αυτοτελούς Τμήματος Παλλαϊκής Άμυνας και Πολιτικής Προστασίας   </w:t>
      </w:r>
      <w:r>
        <w:rPr>
          <w:rFonts w:asciiTheme="minorHAnsi" w:hAnsiTheme="minorHAnsi" w:cstheme="minorHAnsi"/>
          <w:sz w:val="24"/>
          <w:szCs w:val="24"/>
        </w:rPr>
        <w:t>υπάγονται</w:t>
      </w:r>
      <w:r>
        <w:rPr>
          <w:rFonts w:asciiTheme="minorHAnsi" w:hAnsiTheme="minorHAnsi" w:cstheme="minorHAnsi"/>
          <w:b/>
          <w:bCs/>
          <w:sz w:val="24"/>
          <w:szCs w:val="24"/>
        </w:rPr>
        <w:t xml:space="preserve"> </w:t>
      </w:r>
      <w:r>
        <w:rPr>
          <w:rFonts w:asciiTheme="minorHAnsi" w:hAnsiTheme="minorHAnsi" w:cstheme="minorHAnsi"/>
          <w:sz w:val="24"/>
          <w:szCs w:val="24"/>
        </w:rPr>
        <w:t xml:space="preserve">η σχεδίαση και ο προγραμματισμός για  την αντιμετώπιση εκτάκτων αναγκών, καθώς και η εισήγηση για τις ενδεδειγμένες μεθόδους χειρισμού θεμάτων και μέτρων της πολιτικής σχεδίασης έκτακτης ανάγκης. Το Υπουργείο συντονίζει όλες τις απαραίτητες ενέργειες με άλλους συναρμόδιους φορείς  και είναι υπεύθυνο για τις αρμοδιότητες αυτές, στο  πλαίσιο αρμοδιότητας του Υπουργείου Πολιτισμού και Αθλητισμού. </w:t>
      </w:r>
    </w:p>
    <w:p w14:paraId="057428BE" w14:textId="77777777" w:rsidR="002A2422" w:rsidRDefault="003B3AD7">
      <w:pPr>
        <w:spacing w:before="60" w:after="60" w:line="324" w:lineRule="auto"/>
        <w:rPr>
          <w:rFonts w:asciiTheme="minorHAnsi" w:hAnsiTheme="minorHAnsi" w:cstheme="minorHAnsi"/>
          <w:sz w:val="24"/>
          <w:szCs w:val="24"/>
        </w:rPr>
      </w:pPr>
      <w:r>
        <w:rPr>
          <w:rFonts w:asciiTheme="minorHAnsi" w:hAnsiTheme="minorHAnsi" w:cstheme="minorHAnsi"/>
          <w:b/>
          <w:sz w:val="24"/>
          <w:szCs w:val="24"/>
        </w:rPr>
        <w:t>(6)</w:t>
      </w:r>
      <w:r>
        <w:rPr>
          <w:rFonts w:asciiTheme="minorHAnsi" w:hAnsiTheme="minorHAnsi" w:cstheme="minorHAnsi"/>
          <w:sz w:val="24"/>
          <w:szCs w:val="24"/>
        </w:rPr>
        <w:t xml:space="preserve"> Τέλος, η </w:t>
      </w:r>
      <w:r>
        <w:rPr>
          <w:rFonts w:asciiTheme="minorHAnsi" w:hAnsiTheme="minorHAnsi" w:cstheme="minorHAnsi"/>
          <w:b/>
          <w:bCs/>
          <w:sz w:val="24"/>
          <w:szCs w:val="24"/>
        </w:rPr>
        <w:t xml:space="preserve">Επιτελική Δομή ΕΣΠΑ ΥΠΠΟΑ </w:t>
      </w:r>
      <w:r>
        <w:rPr>
          <w:rFonts w:asciiTheme="minorHAnsi" w:hAnsiTheme="minorHAnsi" w:cstheme="minorHAnsi"/>
          <w:sz w:val="24"/>
          <w:szCs w:val="24"/>
        </w:rPr>
        <w:t xml:space="preserve">είναι αρμόδια για την εξασφάλιση της αποτελεσματικότητας και της κανονικότητας της διαχείρισης και της εφαρμογής επιχειρησιακών προγραμμάτων, όπως το πρόγραμμα «ΠΟΛΙΤΙΣΜΟΣ». Έχει επίσης ως αποστολή την ενίσχυση της διοικητικής ικανότητας των υπηρεσιών και φορέων του Τομέα Πολιτισμού του Υπουργείου, σε σχέση με τα Επιχειρησιακά Προγράμματα του ΕΣΠΑ, καθώς και την παρακολούθηση των δράσεων του τομέα Πολιτισμού που υλοποιούνται από άλλους φορείς στο πλαίσιο ΕΠ του ΕΣΠΑ, σε συνεργασία με αυτούς. Ειδικότερα, έχει την αρμοδιότητα της υποστήριξης των υπηρεσιών και φορέων του Τομέα Πολιτισμού του Υπουργείου στις διαδικασίες του σχεδιασμού των πολιτικών, του προγραμματισμού, της εξειδίκευσης, της προετοιμασίας και της υλοποίησης έργων ή δράσεων του τομέα Πολιτισμού που χρηματοδοτούνται από τα ΕΔΕΤ μέσω των ΕΠ του ΕΣΠΑ της περιόδου 2014-2020 και άλλων προγραμμάτων. </w:t>
      </w:r>
    </w:p>
    <w:p w14:paraId="544BBEFD" w14:textId="77777777" w:rsidR="002A2422" w:rsidRDefault="002A2422">
      <w:pPr>
        <w:spacing w:before="60" w:after="60" w:line="336" w:lineRule="auto"/>
        <w:rPr>
          <w:rFonts w:asciiTheme="minorHAnsi" w:hAnsiTheme="minorHAnsi" w:cstheme="minorHAnsi"/>
          <w:sz w:val="24"/>
          <w:szCs w:val="24"/>
        </w:rPr>
      </w:pPr>
    </w:p>
    <w:p w14:paraId="78EAD210" w14:textId="77777777" w:rsidR="002A2422" w:rsidRDefault="003B3AD7">
      <w:pPr>
        <w:spacing w:before="60" w:after="60" w:line="336" w:lineRule="auto"/>
        <w:rPr>
          <w:rFonts w:asciiTheme="minorHAnsi" w:hAnsiTheme="minorHAnsi" w:cstheme="minorHAnsi"/>
          <w:sz w:val="24"/>
          <w:szCs w:val="24"/>
        </w:rPr>
      </w:pPr>
      <w:r>
        <w:rPr>
          <w:rFonts w:asciiTheme="minorHAnsi" w:hAnsiTheme="minorHAnsi" w:cstheme="minorHAnsi"/>
          <w:sz w:val="24"/>
          <w:szCs w:val="24"/>
        </w:rPr>
        <w:lastRenderedPageBreak/>
        <w:t xml:space="preserve">Αναφορικά με τους εποπτευόμενους φορείς </w:t>
      </w:r>
      <w:r>
        <w:rPr>
          <w:rFonts w:asciiTheme="minorHAnsi" w:hAnsiTheme="minorHAnsi" w:cstheme="minorHAnsi"/>
          <w:b/>
          <w:bCs/>
          <w:sz w:val="24"/>
          <w:szCs w:val="24"/>
        </w:rPr>
        <w:t xml:space="preserve">στον τομέα της Πολιτιστικής Κληρονομιάς </w:t>
      </w:r>
      <w:r>
        <w:rPr>
          <w:rFonts w:asciiTheme="minorHAnsi" w:hAnsiTheme="minorHAnsi" w:cstheme="minorHAnsi"/>
          <w:bCs/>
          <w:sz w:val="24"/>
          <w:szCs w:val="24"/>
        </w:rPr>
        <w:t>υπάγονται</w:t>
      </w:r>
      <w:r>
        <w:rPr>
          <w:rFonts w:asciiTheme="minorHAnsi" w:hAnsiTheme="minorHAnsi" w:cstheme="minorHAnsi"/>
          <w:b/>
          <w:bCs/>
          <w:sz w:val="24"/>
          <w:szCs w:val="24"/>
        </w:rPr>
        <w:t xml:space="preserve"> </w:t>
      </w:r>
      <w:r>
        <w:rPr>
          <w:rFonts w:asciiTheme="minorHAnsi" w:hAnsiTheme="minorHAnsi" w:cstheme="minorHAnsi"/>
          <w:sz w:val="24"/>
          <w:szCs w:val="24"/>
        </w:rPr>
        <w:t xml:space="preserve">επτά [7] φορείς και συγκεκριμένα το Μουσείο Ακρόπολης, το Ευρωπαϊκό Κέντρο Βυζαντινών και Μεταβυζαντινών Μνημείων, το Ευρωπαϊκό Πολιτιστικό Κέντρο Δελφών, το Λαογραφικό &amp; Εθνολογικό Μουσείο Μακεδονίας - Θράκης, το Μουσείο Παύλου &amp; Αλεξάνδρας Κανελλοπούλου, το Μουσείο Φυσικής Ιστορίας Απολιθωμένου Δάσους Λέσβου, και τέλος ο Οργανισμός Διαχείρισης και Ανάπτυξης Πολιτιστικών Πόρων (πρώην Ταμείο Αρχαιολογικών Πόρων και Απαλλοτριώσεων).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p>
    <w:p w14:paraId="6389AE11" w14:textId="77777777" w:rsidR="002A2422" w:rsidRDefault="003B3AD7">
      <w:pPr>
        <w:spacing w:before="60" w:after="60" w:line="336" w:lineRule="auto"/>
        <w:rPr>
          <w:rFonts w:asciiTheme="minorHAnsi" w:hAnsiTheme="minorHAnsi" w:cstheme="minorHAnsi"/>
          <w:sz w:val="24"/>
          <w:szCs w:val="24"/>
        </w:rPr>
      </w:pPr>
      <w:r>
        <w:rPr>
          <w:rFonts w:asciiTheme="minorHAnsi" w:hAnsiTheme="minorHAnsi" w:cstheme="minorHAnsi"/>
          <w:sz w:val="24"/>
          <w:szCs w:val="24"/>
        </w:rPr>
        <w:t xml:space="preserve">Επιπρόσθετα, στην αρμοδιότητα της Γενικής Γραμματείας Πολιτισμού εμπίπτουν και οι Ξένες Αρχαιολογικές Σχολές. </w:t>
      </w:r>
    </w:p>
    <w:p w14:paraId="33E79E90" w14:textId="77777777" w:rsidR="002A2422" w:rsidRDefault="002A2422">
      <w:pPr>
        <w:spacing w:before="60" w:after="60" w:line="336" w:lineRule="auto"/>
        <w:rPr>
          <w:rFonts w:asciiTheme="minorHAnsi" w:hAnsiTheme="minorHAnsi" w:cstheme="minorHAnsi"/>
          <w:sz w:val="24"/>
          <w:szCs w:val="24"/>
        </w:rPr>
      </w:pPr>
    </w:p>
    <w:p w14:paraId="57BAD2BA" w14:textId="77777777" w:rsidR="002A2422" w:rsidRDefault="003B3AD7">
      <w:pPr>
        <w:spacing w:before="60" w:after="60" w:line="336" w:lineRule="auto"/>
        <w:rPr>
          <w:rFonts w:asciiTheme="minorHAnsi" w:hAnsiTheme="minorHAnsi" w:cstheme="minorHAnsi"/>
          <w:sz w:val="24"/>
          <w:szCs w:val="24"/>
        </w:rPr>
      </w:pPr>
      <w:r>
        <w:rPr>
          <w:rFonts w:asciiTheme="minorHAnsi" w:hAnsiTheme="minorHAnsi" w:cstheme="minorHAnsi"/>
          <w:sz w:val="24"/>
          <w:szCs w:val="24"/>
        </w:rPr>
        <w:t xml:space="preserve">Στον </w:t>
      </w:r>
      <w:r>
        <w:rPr>
          <w:rFonts w:asciiTheme="minorHAnsi" w:hAnsiTheme="minorHAnsi" w:cstheme="minorHAnsi"/>
          <w:b/>
          <w:sz w:val="24"/>
          <w:szCs w:val="24"/>
        </w:rPr>
        <w:t>τομέα του</w:t>
      </w:r>
      <w:r>
        <w:rPr>
          <w:rFonts w:asciiTheme="minorHAnsi" w:hAnsiTheme="minorHAnsi" w:cstheme="minorHAnsi"/>
          <w:b/>
          <w:bCs/>
          <w:sz w:val="24"/>
          <w:szCs w:val="24"/>
        </w:rPr>
        <w:t xml:space="preserve"> Σύγχρονου Πολιτισμού, </w:t>
      </w:r>
      <w:r>
        <w:rPr>
          <w:rFonts w:asciiTheme="minorHAnsi" w:hAnsiTheme="minorHAnsi" w:cstheme="minorHAnsi"/>
          <w:bCs/>
          <w:sz w:val="24"/>
          <w:szCs w:val="24"/>
        </w:rPr>
        <w:t>υπάγονται οι ακόλουθοι φορείς:</w:t>
      </w:r>
      <w:r>
        <w:rPr>
          <w:rFonts w:asciiTheme="minorHAnsi" w:hAnsiTheme="minorHAnsi" w:cstheme="minorHAnsi"/>
          <w:sz w:val="24"/>
          <w:szCs w:val="24"/>
        </w:rPr>
        <w:t xml:space="preserve"> το Εθνικό Θέατρο, το Κρατικό Θέατρο Βορείου Ελλάδος, η Εθνική Λυρική Σχολή, το Ελληνικό Φεστιβάλ ΑΕ, το Φεστιβάλ Κινηματογράφου Θεσσαλονίκης, το Ελληνικό Κέντρο Κινηματογράφου ΑΕ, η Εθνική Πινακοθήκη και Μουσείο Αλεξάνδρου Σούτσου, το Εθνικό Μουσείο Σύγχρονης Τέχνης, ο Μητροπολιτικός Οργανισμός Μουσείων Εικαστικών Τεχνών Θεσσαλονίκης – </w:t>
      </w:r>
      <w:proofErr w:type="spellStart"/>
      <w:r>
        <w:rPr>
          <w:rFonts w:asciiTheme="minorHAnsi" w:hAnsiTheme="minorHAnsi" w:cstheme="minorHAnsi"/>
          <w:sz w:val="24"/>
          <w:szCs w:val="24"/>
        </w:rPr>
        <w:t>MOMus</w:t>
      </w:r>
      <w:proofErr w:type="spellEnd"/>
      <w:r>
        <w:rPr>
          <w:rFonts w:asciiTheme="minorHAnsi" w:hAnsiTheme="minorHAnsi" w:cstheme="minorHAnsi"/>
          <w:sz w:val="24"/>
          <w:szCs w:val="24"/>
        </w:rPr>
        <w:t xml:space="preserve">, οι Οργανισμοί Μεγάρου Μουσικής Αθηνών και Θεσσαλονίκης, ο Οργανισμός Πνευματικής Ιδιοκτησίας, το Ελληνικό Ίδρυμα Πολιτισμού, η Ανώτερη Σχολή Δραματικής Τέχνης Εθνικού Θεάτρου, η Ανώτερη Σχολή Δραματικής Τέχνης Κρατικού Θεάτρου Βορείου Ελλάδος, οι Κρατικές Ορχήστρες (ΕΤΟΣ ΚΟΑ και ΕΤΟΣ ΚΟΘ), το Κρατικό Ωδείο Θεσσαλονίκης,  το Ωδείο Αθηνών, η Κρατική Σχολή Ορχηστικής Τέχνης, το Επιμελητήριο Εικαστικών Τεχνών Ελλάδος, το  Μουσείο </w:t>
      </w:r>
      <w:proofErr w:type="spellStart"/>
      <w:r>
        <w:rPr>
          <w:rFonts w:asciiTheme="minorHAnsi" w:hAnsiTheme="minorHAnsi" w:cstheme="minorHAnsi"/>
          <w:sz w:val="24"/>
          <w:szCs w:val="24"/>
        </w:rPr>
        <w:t>Ζυγομαλά</w:t>
      </w:r>
      <w:proofErr w:type="spellEnd"/>
      <w:r>
        <w:rPr>
          <w:rFonts w:asciiTheme="minorHAnsi" w:hAnsiTheme="minorHAnsi" w:cstheme="minorHAnsi"/>
          <w:sz w:val="24"/>
          <w:szCs w:val="24"/>
        </w:rPr>
        <w:t xml:space="preserve">, το Μουσείο-Βιβλιοθήκη Ελευθεριάδη - </w:t>
      </w:r>
      <w:proofErr w:type="spellStart"/>
      <w:r>
        <w:rPr>
          <w:rFonts w:asciiTheme="minorHAnsi" w:hAnsiTheme="minorHAnsi" w:cstheme="minorHAnsi"/>
          <w:sz w:val="24"/>
          <w:szCs w:val="24"/>
        </w:rPr>
        <w:t>Teriade</w:t>
      </w:r>
      <w:proofErr w:type="spellEnd"/>
      <w:r>
        <w:rPr>
          <w:rFonts w:asciiTheme="minorHAnsi" w:hAnsiTheme="minorHAnsi" w:cstheme="minorHAnsi"/>
          <w:sz w:val="24"/>
          <w:szCs w:val="24"/>
        </w:rPr>
        <w:t>, το Προπαρασκευαστικό και Επαγγελματικό Σχολείο Καλών Τεχνών Πανόρμου Τήνου και η Ταινιοθήκη της Ελλάδος.</w:t>
      </w:r>
    </w:p>
    <w:p w14:paraId="3533104C"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Στην εποπτεία της Γενικής Γραμματείας Σύγχρονου Πολιτισμού υπάγονται τα Ωδεία στον Τομέα Μουσικής, τα Δημοτικά Περιφερειακά Θέατρα και οι Ανώτερες Σχολές Δραματικής Τέχνης στον Τομέα του Θεάτρου,  οι Ανώτερες Επαγγελματικές Ιδιωτικές Σχολές Χορού στον Τομέα του Χορού, στον Τομέα του Κινηματογράφου και των Οπτικοακουστικών μέσων το Δίκτυο Δημοτικών Κινηματογράφων, και τέλος στον Τομέα των Εικαστικών Τεχνών, το Δίκτυο Δημοτικών Εικαστικών Εργαστηρίων.</w:t>
      </w:r>
    </w:p>
    <w:p w14:paraId="03050E94" w14:textId="77777777" w:rsidR="002A2422" w:rsidRDefault="003B3AD7">
      <w:pPr>
        <w:spacing w:before="60" w:after="60"/>
        <w:rPr>
          <w:rFonts w:asciiTheme="minorHAnsi" w:hAnsiTheme="minorHAnsi"/>
          <w:sz w:val="24"/>
          <w:szCs w:val="24"/>
        </w:rPr>
      </w:pPr>
      <w:r>
        <w:rPr>
          <w:rFonts w:asciiTheme="minorHAnsi" w:hAnsiTheme="minorHAnsi"/>
          <w:sz w:val="24"/>
          <w:szCs w:val="24"/>
        </w:rPr>
        <w:lastRenderedPageBreak/>
        <w:t xml:space="preserve">Η Γενική Γραμματεία Αθλητισμού εποπτεύει τα εξής Εθνικά Γυμναστήρια: Εθνικό Αθλητικό Κέντρο Νεότητας Αγ. Κοσμά, Εθνικό Σκοπευτήριο Βύρωνα, Εθνικά Αθλητικά Κέντρα Θεσσαλονίκης, </w:t>
      </w:r>
      <w:proofErr w:type="spellStart"/>
      <w:r>
        <w:rPr>
          <w:rFonts w:asciiTheme="minorHAnsi" w:hAnsiTheme="minorHAnsi"/>
          <w:sz w:val="24"/>
          <w:szCs w:val="24"/>
        </w:rPr>
        <w:t>Καυτανζόγλειο</w:t>
      </w:r>
      <w:proofErr w:type="spellEnd"/>
      <w:r>
        <w:rPr>
          <w:rFonts w:asciiTheme="minorHAnsi" w:hAnsiTheme="minorHAnsi"/>
          <w:sz w:val="24"/>
          <w:szCs w:val="24"/>
        </w:rPr>
        <w:t xml:space="preserve"> Εθνικό Στάδιο, Εθνικό Χιονοδρομικό Κέντρο </w:t>
      </w:r>
      <w:proofErr w:type="spellStart"/>
      <w:r>
        <w:rPr>
          <w:rFonts w:asciiTheme="minorHAnsi" w:hAnsiTheme="minorHAnsi"/>
          <w:sz w:val="24"/>
          <w:szCs w:val="24"/>
        </w:rPr>
        <w:t>Σελίου</w:t>
      </w:r>
      <w:proofErr w:type="spellEnd"/>
      <w:r>
        <w:rPr>
          <w:rFonts w:asciiTheme="minorHAnsi" w:hAnsiTheme="minorHAnsi"/>
          <w:sz w:val="24"/>
          <w:szCs w:val="24"/>
        </w:rPr>
        <w:t xml:space="preserve">, Εθνικό Χιονοδρομικό Κέντρο </w:t>
      </w:r>
      <w:proofErr w:type="spellStart"/>
      <w:r>
        <w:rPr>
          <w:rFonts w:asciiTheme="minorHAnsi" w:hAnsiTheme="minorHAnsi"/>
          <w:sz w:val="24"/>
          <w:szCs w:val="24"/>
        </w:rPr>
        <w:t>Βασιλίτσας</w:t>
      </w:r>
      <w:proofErr w:type="spellEnd"/>
      <w:r>
        <w:rPr>
          <w:rFonts w:asciiTheme="minorHAnsi" w:hAnsiTheme="minorHAnsi"/>
          <w:sz w:val="24"/>
          <w:szCs w:val="24"/>
        </w:rPr>
        <w:t xml:space="preserve">, </w:t>
      </w:r>
      <w:proofErr w:type="spellStart"/>
      <w:r>
        <w:rPr>
          <w:rFonts w:asciiTheme="minorHAnsi" w:hAnsiTheme="minorHAnsi"/>
          <w:sz w:val="24"/>
          <w:szCs w:val="24"/>
        </w:rPr>
        <w:t>Πανθρακικό</w:t>
      </w:r>
      <w:proofErr w:type="spellEnd"/>
      <w:r>
        <w:rPr>
          <w:rFonts w:asciiTheme="minorHAnsi" w:hAnsiTheme="minorHAnsi"/>
          <w:sz w:val="24"/>
          <w:szCs w:val="24"/>
        </w:rPr>
        <w:t xml:space="preserve"> Εθνικό Στάδιο Κομοτηνής, Εθνικό Αθλητικό Κέντρο Κέρκυρας, </w:t>
      </w:r>
      <w:proofErr w:type="spellStart"/>
      <w:r>
        <w:rPr>
          <w:rFonts w:asciiTheme="minorHAnsi" w:hAnsiTheme="minorHAnsi"/>
          <w:sz w:val="24"/>
          <w:szCs w:val="24"/>
        </w:rPr>
        <w:t>Πανηπειρωτικό</w:t>
      </w:r>
      <w:proofErr w:type="spellEnd"/>
      <w:r>
        <w:rPr>
          <w:rFonts w:asciiTheme="minorHAnsi" w:hAnsiTheme="minorHAnsi"/>
          <w:sz w:val="24"/>
          <w:szCs w:val="24"/>
        </w:rPr>
        <w:t xml:space="preserve"> Εθνικό Αθλητικό Κέντρο Ιωαννίνων, Εθνικό Αθλητικό Κέντρο Λάρισας, </w:t>
      </w:r>
      <w:proofErr w:type="spellStart"/>
      <w:r>
        <w:rPr>
          <w:rFonts w:asciiTheme="minorHAnsi" w:hAnsiTheme="minorHAnsi"/>
          <w:sz w:val="24"/>
          <w:szCs w:val="24"/>
        </w:rPr>
        <w:t>Παμπελοποννησιακό</w:t>
      </w:r>
      <w:proofErr w:type="spellEnd"/>
      <w:r>
        <w:rPr>
          <w:rFonts w:asciiTheme="minorHAnsi" w:hAnsiTheme="minorHAnsi"/>
          <w:sz w:val="24"/>
          <w:szCs w:val="24"/>
        </w:rPr>
        <w:t xml:space="preserve"> Εθνικό Αθλητικό Κέντρο Πατρών, </w:t>
      </w:r>
      <w:proofErr w:type="spellStart"/>
      <w:r>
        <w:rPr>
          <w:rFonts w:asciiTheme="minorHAnsi" w:hAnsiTheme="minorHAnsi"/>
          <w:sz w:val="24"/>
          <w:szCs w:val="24"/>
        </w:rPr>
        <w:t>Παπαχαραλάμπειο</w:t>
      </w:r>
      <w:proofErr w:type="spellEnd"/>
      <w:r>
        <w:rPr>
          <w:rFonts w:asciiTheme="minorHAnsi" w:hAnsiTheme="minorHAnsi"/>
          <w:sz w:val="24"/>
          <w:szCs w:val="24"/>
        </w:rPr>
        <w:t xml:space="preserve"> Εθνικό Στάδιο </w:t>
      </w:r>
      <w:proofErr w:type="spellStart"/>
      <w:r>
        <w:rPr>
          <w:rFonts w:asciiTheme="minorHAnsi" w:hAnsiTheme="minorHAnsi"/>
          <w:sz w:val="24"/>
          <w:szCs w:val="24"/>
        </w:rPr>
        <w:t>Ναυπάκτου</w:t>
      </w:r>
      <w:proofErr w:type="spellEnd"/>
      <w:r>
        <w:rPr>
          <w:rFonts w:asciiTheme="minorHAnsi" w:hAnsiTheme="minorHAnsi"/>
          <w:sz w:val="24"/>
          <w:szCs w:val="24"/>
        </w:rPr>
        <w:t xml:space="preserve">, </w:t>
      </w:r>
      <w:proofErr w:type="spellStart"/>
      <w:r>
        <w:rPr>
          <w:rFonts w:asciiTheme="minorHAnsi" w:hAnsiTheme="minorHAnsi"/>
          <w:sz w:val="24"/>
          <w:szCs w:val="24"/>
        </w:rPr>
        <w:t>Eθνικό</w:t>
      </w:r>
      <w:proofErr w:type="spellEnd"/>
      <w:r>
        <w:rPr>
          <w:rFonts w:asciiTheme="minorHAnsi" w:hAnsiTheme="minorHAnsi"/>
          <w:sz w:val="24"/>
          <w:szCs w:val="24"/>
        </w:rPr>
        <w:t xml:space="preserve"> Αθλητικό Κέντρο Ηρακλείου και Εθνικό Αθλητικό Κέντρο Χανίων. Βρίσκονται υπό την εποπτεία της επίσης τα δύο ΝΠΙΔ Ολυμπιακό Αθλητικό Κέντρο Αθηνών (Ο.Α.Κ.Α.) και Στάδιο Ειρήνης και Φιλίας (Σ.Ε.Φ.)</w:t>
      </w:r>
    </w:p>
    <w:p w14:paraId="740CE482" w14:textId="77777777" w:rsidR="002A2422" w:rsidRDefault="003B3AD7">
      <w:pPr>
        <w:spacing w:before="60" w:after="60"/>
        <w:rPr>
          <w:rFonts w:asciiTheme="minorHAnsi" w:hAnsiTheme="minorHAnsi"/>
          <w:sz w:val="24"/>
          <w:szCs w:val="24"/>
        </w:rPr>
      </w:pPr>
      <w:r>
        <w:rPr>
          <w:rFonts w:asciiTheme="minorHAnsi" w:hAnsiTheme="minorHAnsi"/>
          <w:sz w:val="24"/>
          <w:szCs w:val="24"/>
        </w:rPr>
        <w:t>Εποπτεύει ακόμα 49 Ολυμπιακές και μη Ολυμπιακές Αθλητικές Ομοσπονδίες.</w:t>
      </w:r>
    </w:p>
    <w:p w14:paraId="2DA73788" w14:textId="77777777" w:rsidR="002A2422" w:rsidRDefault="002A2422">
      <w:pPr>
        <w:spacing w:before="60" w:after="60"/>
        <w:rPr>
          <w:rFonts w:asciiTheme="minorHAnsi" w:hAnsiTheme="minorHAnsi"/>
          <w:sz w:val="24"/>
          <w:szCs w:val="24"/>
        </w:rPr>
      </w:pPr>
    </w:p>
    <w:p w14:paraId="030A20F8"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Το Υπουργείο Πολιτισμού και Αθλητισμού </w:t>
      </w:r>
      <w:r>
        <w:rPr>
          <w:rFonts w:asciiTheme="minorHAnsi" w:hAnsiTheme="minorHAnsi" w:cstheme="minorHAnsi"/>
          <w:bCs/>
          <w:sz w:val="24"/>
          <w:szCs w:val="24"/>
        </w:rPr>
        <w:t>λειτουργούν</w:t>
      </w:r>
      <w:r>
        <w:rPr>
          <w:rFonts w:asciiTheme="minorHAnsi" w:hAnsiTheme="minorHAnsi" w:cstheme="minorHAnsi"/>
          <w:b/>
          <w:bCs/>
          <w:sz w:val="24"/>
          <w:szCs w:val="24"/>
        </w:rPr>
        <w:t xml:space="preserve"> τέσσερα Κεντρικά Συμβούλια</w:t>
      </w:r>
      <w:r>
        <w:rPr>
          <w:rFonts w:asciiTheme="minorHAnsi" w:hAnsiTheme="minorHAnsi" w:cstheme="minorHAnsi"/>
          <w:sz w:val="24"/>
          <w:szCs w:val="24"/>
        </w:rPr>
        <w:t xml:space="preserve">. Κατά  πρώτο είναι το </w:t>
      </w:r>
      <w:r>
        <w:rPr>
          <w:rFonts w:asciiTheme="minorHAnsi" w:hAnsiTheme="minorHAnsi" w:cstheme="minorHAnsi"/>
          <w:b/>
          <w:bCs/>
          <w:sz w:val="24"/>
          <w:szCs w:val="24"/>
        </w:rPr>
        <w:t xml:space="preserve">Κεντρικό Αρχαιολογικό Συμβούλιο (ΚΑΣ). </w:t>
      </w:r>
      <w:r>
        <w:rPr>
          <w:rFonts w:asciiTheme="minorHAnsi" w:hAnsiTheme="minorHAnsi" w:cstheme="minorHAnsi"/>
          <w:sz w:val="24"/>
          <w:szCs w:val="24"/>
        </w:rPr>
        <w:t>Σύμφωνα με το άρθρο 50 του Ν. 3028/2002 «Για την προστασία των Αρχαιοτήτων και εν γένει της Πολιτιστικής Κληρονομιάς», το Κεντρικό Αρχαιολογικό Συμβούλιο εξετάζει και γνωμοδοτεί για θέματα που αφορούν στην προστασία αρχαίων μνημείων, αρχαιολογικών χώρων και ιστορικών τόπων που χρονολογούνται έως και το 1830 και συγκεκριμένα είναι αρμόδιο για τα ακόλουθα.</w:t>
      </w:r>
    </w:p>
    <w:p w14:paraId="369F854A"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Κατά δεύτερο είναι το </w:t>
      </w:r>
      <w:r>
        <w:rPr>
          <w:rFonts w:asciiTheme="minorHAnsi" w:hAnsiTheme="minorHAnsi" w:cstheme="minorHAnsi"/>
          <w:b/>
          <w:bCs/>
          <w:sz w:val="24"/>
          <w:szCs w:val="24"/>
        </w:rPr>
        <w:t>Κεντρικό Συμβούλιο Νεότερων Μνημείων (ΚΣΝΜ</w:t>
      </w:r>
      <w:r>
        <w:rPr>
          <w:rFonts w:asciiTheme="minorHAnsi" w:hAnsiTheme="minorHAnsi" w:cstheme="minorHAnsi"/>
          <w:sz w:val="24"/>
          <w:szCs w:val="24"/>
        </w:rPr>
        <w:t>), το οποίο εξετάζει και γνωμοδοτεί για θέματα που αφορούν στην προστασία νεότερων μνημείων και τόπων χαρακτηριζομένων ως ιστορικών, μεταγενέστερων του 1830  (άρθρο 50 του Ν. 3028/2002 «Για την προστασία των Αρχαιοτήτων και εν γένει της Πολιτιστικής Κληρονομιάς).</w:t>
      </w:r>
    </w:p>
    <w:p w14:paraId="20C92E65"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Επίσης, λειτουργεί το </w:t>
      </w:r>
      <w:r>
        <w:rPr>
          <w:rFonts w:asciiTheme="minorHAnsi" w:hAnsiTheme="minorHAnsi" w:cstheme="minorHAnsi"/>
          <w:b/>
          <w:bCs/>
          <w:sz w:val="24"/>
          <w:szCs w:val="24"/>
        </w:rPr>
        <w:t xml:space="preserve">Συμβούλιο Μουσείων (ΣΜ), </w:t>
      </w:r>
      <w:r>
        <w:rPr>
          <w:rFonts w:asciiTheme="minorHAnsi" w:hAnsiTheme="minorHAnsi" w:cstheme="minorHAnsi"/>
          <w:bCs/>
          <w:sz w:val="24"/>
          <w:szCs w:val="24"/>
        </w:rPr>
        <w:t>το οποίο</w:t>
      </w:r>
      <w:r>
        <w:rPr>
          <w:rFonts w:asciiTheme="minorHAnsi" w:hAnsiTheme="minorHAnsi" w:cstheme="minorHAnsi"/>
          <w:sz w:val="24"/>
          <w:szCs w:val="24"/>
        </w:rPr>
        <w:t xml:space="preserve"> γνωμοδοτεί για ζητήματα σχετικά με τις αρχές που διέπουν τη μουσειακή πολιτική του κράτους, για τα μέτρα υποστήριξης και εξειδίκευσης αυτής, καθώς και για τη συνεργασία μεταξύ των μουσείων και τον συντονισμό των δραστηριοτήτων τους, την ίδρυση και λειτουργία μουσείων από το Δημόσιο αλλά και την αναγνώριση μουσείων που ιδρύονται από ή ανήκουν σε άλλο νομικό πρόσωπο. Επιπρόσθετα γνωμοδοτεί για θέματα εφαρμογής της αρχής της αμοιβαιότητας, σε περίπτωση δανεισμού για </w:t>
      </w:r>
      <w:r>
        <w:rPr>
          <w:rFonts w:asciiTheme="minorHAnsi" w:hAnsiTheme="minorHAnsi" w:cstheme="minorHAnsi"/>
          <w:sz w:val="24"/>
          <w:szCs w:val="24"/>
        </w:rPr>
        <w:lastRenderedPageBreak/>
        <w:t xml:space="preserve">τη διοργάνωση εκθέσεων σε μουσεία, καθώς και γνωμοδοτεί για τη συγκρότηση κρατικών μουσείων ως ειδικών περιφερειακών υπηρεσιών του Υπουργείου Πολιτισμού και για κάθε θέμα που αφορά σε μουσεία. </w:t>
      </w:r>
    </w:p>
    <w:p w14:paraId="6105A03F"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Τέλος, το </w:t>
      </w:r>
      <w:r>
        <w:rPr>
          <w:rFonts w:asciiTheme="minorHAnsi" w:hAnsiTheme="minorHAnsi" w:cstheme="minorHAnsi"/>
          <w:b/>
          <w:bCs/>
          <w:sz w:val="24"/>
          <w:szCs w:val="24"/>
        </w:rPr>
        <w:t>Ειδικό Όργανο ΚΑΣ-ΚΣΝΜ</w:t>
      </w:r>
      <w:r>
        <w:rPr>
          <w:rFonts w:asciiTheme="minorHAnsi" w:hAnsiTheme="minorHAnsi" w:cstheme="minorHAnsi"/>
          <w:sz w:val="24"/>
          <w:szCs w:val="24"/>
        </w:rPr>
        <w:t xml:space="preserve"> γνωμοδοτεί για τον χαρακτηρισμό ως μνημείου, ακινήτου προγενέστερου των 100 τελευταίων ετών, με αρχιτεκτονική, πολεοδομική, κοινωνική, εθνολογική, λαογραφική, τεχνική, βιομηχανική, ή εν γένει ιστορική, καλλιτεχνική ή επιστημονική σημασία ή ακινήτου μεταγενέστερου των 100 τελευταίων ετών, με ιδιαίτερη αρχιτεκτονική, πολεοδομική, κοινωνική, εθνολογική, λαογραφική, τεχνική, βιομηχανική, ή εν γένει ιστορική, καλλιτεχνική ή επιστημονική σημασία, το οποίο βρίσκεται σε αρχαιολογικό χώρο ή πάνω σε αρχαίο (άρθρο 50 παρ. 6β του Ν. 3028/2002) χωρίς να αναιρείται η προστασία αυτών.</w:t>
      </w:r>
    </w:p>
    <w:p w14:paraId="2FE17CA3" w14:textId="77777777" w:rsidR="002A2422" w:rsidRDefault="002A2422">
      <w:pPr>
        <w:spacing w:before="60" w:after="60"/>
        <w:rPr>
          <w:rFonts w:asciiTheme="minorHAnsi" w:hAnsiTheme="minorHAnsi" w:cstheme="minorHAnsi"/>
          <w:b/>
          <w:bCs/>
          <w:sz w:val="24"/>
          <w:szCs w:val="24"/>
        </w:rPr>
      </w:pPr>
    </w:p>
    <w:p w14:paraId="78773455" w14:textId="77777777" w:rsidR="002A2422" w:rsidRDefault="003B3AD7">
      <w:pPr>
        <w:spacing w:before="60" w:after="60"/>
        <w:rPr>
          <w:rFonts w:asciiTheme="minorHAnsi" w:hAnsiTheme="minorHAnsi" w:cstheme="minorHAnsi"/>
          <w:b/>
          <w:bCs/>
          <w:sz w:val="24"/>
          <w:szCs w:val="24"/>
        </w:rPr>
      </w:pPr>
      <w:r>
        <w:rPr>
          <w:rFonts w:asciiTheme="minorHAnsi" w:hAnsiTheme="minorHAnsi" w:cstheme="minorHAnsi"/>
          <w:b/>
          <w:bCs/>
          <w:sz w:val="24"/>
          <w:szCs w:val="24"/>
        </w:rPr>
        <w:t>Νομοθετικό Πλαίσιο</w:t>
      </w:r>
    </w:p>
    <w:p w14:paraId="101F86C9"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Η δράση του Υπουργείου Πολιτισμού και Αθλητισμού λόγω της φύσης αυτού </w:t>
      </w:r>
      <w:proofErr w:type="spellStart"/>
      <w:r>
        <w:rPr>
          <w:rFonts w:asciiTheme="minorHAnsi" w:hAnsiTheme="minorHAnsi" w:cstheme="minorHAnsi"/>
          <w:sz w:val="24"/>
          <w:szCs w:val="24"/>
        </w:rPr>
        <w:t>διέπεται</w:t>
      </w:r>
      <w:proofErr w:type="spellEnd"/>
      <w:r>
        <w:rPr>
          <w:rFonts w:asciiTheme="minorHAnsi" w:hAnsiTheme="minorHAnsi" w:cstheme="minorHAnsi"/>
          <w:sz w:val="24"/>
          <w:szCs w:val="24"/>
        </w:rPr>
        <w:t xml:space="preserve"> από πλήθος νόμων και κανονιστικών πράξεων, το οποίο αποτυπώνει και το εύρος των αρμοδιοτήτων του. Ενδεικτικά παρατίθενται τα ακόλουθα:</w:t>
      </w:r>
    </w:p>
    <w:p w14:paraId="248281B2"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Βασικός νόμος που διέπει τόσο την Πολιτιστική Κληρονομιά όσο και το Σύγχρονο Πολιτισμό είναι ο ν.</w:t>
      </w:r>
      <w:r>
        <w:rPr>
          <w:rFonts w:asciiTheme="minorHAnsi" w:hAnsiTheme="minorHAnsi" w:cstheme="minorHAnsi"/>
          <w:i/>
          <w:iCs/>
          <w:sz w:val="24"/>
          <w:szCs w:val="24"/>
        </w:rPr>
        <w:t>1103/1980 (Α’ 297),</w:t>
      </w:r>
      <w:r>
        <w:rPr>
          <w:rFonts w:asciiTheme="minorHAnsi" w:hAnsiTheme="minorHAnsi" w:cstheme="minorHAnsi"/>
          <w:sz w:val="24"/>
          <w:szCs w:val="24"/>
        </w:rPr>
        <w:t xml:space="preserve"> με τον οποίο κυρώνεται η διεθνής σύμβαση της UNESCO (1970) για την παρεμπόδιση της παράνομης διακίνησης πολιτιστικών αγαθών, ως απαράγραπτο δικαίωμα. </w:t>
      </w:r>
    </w:p>
    <w:p w14:paraId="3DB657BD"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Κύριο νομοθέτημα για την πολιτιστική κληρονομιά είναι ο ν.</w:t>
      </w:r>
      <w:r>
        <w:rPr>
          <w:rFonts w:asciiTheme="minorHAnsi" w:hAnsiTheme="minorHAnsi" w:cstheme="minorHAnsi"/>
          <w:i/>
          <w:iCs/>
          <w:sz w:val="24"/>
          <w:szCs w:val="24"/>
        </w:rPr>
        <w:t>3028/2002 «για την προστασία των Αρχαιοτήτων και εν γένει της Πολιτιστικής Κληρονομιάς</w:t>
      </w:r>
      <w:r>
        <w:rPr>
          <w:rFonts w:asciiTheme="minorHAnsi" w:hAnsiTheme="minorHAnsi" w:cstheme="minorHAnsi"/>
          <w:sz w:val="24"/>
          <w:szCs w:val="24"/>
        </w:rPr>
        <w:t>»</w:t>
      </w:r>
      <w:r>
        <w:rPr>
          <w:rFonts w:asciiTheme="minorHAnsi" w:hAnsiTheme="minorHAnsi" w:cstheme="minorHAnsi"/>
          <w:i/>
          <w:iCs/>
          <w:sz w:val="24"/>
          <w:szCs w:val="24"/>
        </w:rPr>
        <w:t xml:space="preserve"> (Α’ 153)</w:t>
      </w:r>
      <w:r>
        <w:rPr>
          <w:rFonts w:asciiTheme="minorHAnsi" w:hAnsiTheme="minorHAnsi" w:cstheme="minorHAnsi"/>
          <w:sz w:val="24"/>
          <w:szCs w:val="24"/>
        </w:rPr>
        <w:t xml:space="preserve">, ο οποίος αποτυπώνει με λεπτομέρεια τις αναγκαίες ενέργειες διατήρησης και προστασίας των πολιτιστικών αγαθών, υλικών και άυλων. </w:t>
      </w:r>
    </w:p>
    <w:p w14:paraId="1750D1D8"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 Επιπρόσθετα, με τις διατάξεις του </w:t>
      </w:r>
      <w:r>
        <w:rPr>
          <w:rFonts w:asciiTheme="minorHAnsi" w:hAnsiTheme="minorHAnsi" w:cstheme="minorHAnsi"/>
          <w:i/>
          <w:iCs/>
          <w:sz w:val="24"/>
          <w:szCs w:val="24"/>
        </w:rPr>
        <w:t>ν.2121/1993 «Πνευματική Ιδιοκτησία, συγγενικά δικαιώματα και πολιτιστικά θέματα»</w:t>
      </w:r>
      <w:r>
        <w:rPr>
          <w:rFonts w:asciiTheme="minorHAnsi" w:hAnsiTheme="minorHAnsi" w:cstheme="minorHAnsi"/>
          <w:sz w:val="24"/>
          <w:szCs w:val="24"/>
        </w:rPr>
        <w:t xml:space="preserve"> ορίζεται ότι οι πνευματικοί δημιουργοί, με τη δημιουργία του έργου, αποκτούν πνευματική ιδιοκτησία, με αποκλειστικά και απόλυτα δικαιώματα, το </w:t>
      </w:r>
      <w:r>
        <w:rPr>
          <w:rFonts w:asciiTheme="minorHAnsi" w:hAnsiTheme="minorHAnsi" w:cstheme="minorHAnsi"/>
          <w:sz w:val="24"/>
          <w:szCs w:val="24"/>
        </w:rPr>
        <w:lastRenderedPageBreak/>
        <w:t xml:space="preserve">δικαίωμα της εκμετάλλευσης, και της προστασίας του προσωπικού τους δεσμού προς αυτό (ηθικό δικαίωμα). </w:t>
      </w:r>
    </w:p>
    <w:p w14:paraId="128EF954"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 Με τον </w:t>
      </w:r>
      <w:r>
        <w:rPr>
          <w:rFonts w:asciiTheme="minorHAnsi" w:hAnsiTheme="minorHAnsi" w:cstheme="minorHAnsi"/>
          <w:i/>
          <w:iCs/>
          <w:sz w:val="24"/>
          <w:szCs w:val="24"/>
        </w:rPr>
        <w:t xml:space="preserve">ν.3348/2005 «Κύρωση της Σύμβασης </w:t>
      </w:r>
      <w:proofErr w:type="spellStart"/>
      <w:r>
        <w:rPr>
          <w:rFonts w:asciiTheme="minorHAnsi" w:hAnsiTheme="minorHAnsi" w:cstheme="minorHAnsi"/>
          <w:i/>
          <w:iCs/>
          <w:sz w:val="24"/>
          <w:szCs w:val="24"/>
        </w:rPr>
        <w:t>Unidroit</w:t>
      </w:r>
      <w:proofErr w:type="spellEnd"/>
      <w:r>
        <w:rPr>
          <w:rFonts w:asciiTheme="minorHAnsi" w:hAnsiTheme="minorHAnsi" w:cstheme="minorHAnsi"/>
          <w:i/>
          <w:iCs/>
          <w:sz w:val="24"/>
          <w:szCs w:val="24"/>
        </w:rPr>
        <w:t xml:space="preserve"> για τα κλαπέντα ή παρανόμως εξαχθέντα πολιτιστικά αγαθά»</w:t>
      </w:r>
      <w:r>
        <w:rPr>
          <w:rFonts w:asciiTheme="minorHAnsi" w:hAnsiTheme="minorHAnsi" w:cstheme="minorHAnsi"/>
          <w:sz w:val="24"/>
          <w:szCs w:val="24"/>
        </w:rPr>
        <w:t xml:space="preserve"> (Α’ 144),  θεσπίζεται ένα σύνολο κοινών κανόνων κατά της παράνομης διακίνησης πολιτιστικών αγαθών μεταξύ των συμβαλλόμενων κρατών για την απόδοση και επιστροφή των πολιτιστικών αγαθών. </w:t>
      </w:r>
    </w:p>
    <w:p w14:paraId="11FFC54A"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 Στον </w:t>
      </w:r>
      <w:r>
        <w:rPr>
          <w:rFonts w:asciiTheme="minorHAnsi" w:hAnsiTheme="minorHAnsi" w:cstheme="minorHAnsi"/>
          <w:i/>
          <w:iCs/>
          <w:sz w:val="24"/>
          <w:szCs w:val="24"/>
        </w:rPr>
        <w:t>ν.3525/2007 «Πολιτιστική Χορηγία»</w:t>
      </w:r>
      <w:r>
        <w:rPr>
          <w:rFonts w:asciiTheme="minorHAnsi" w:hAnsiTheme="minorHAnsi" w:cstheme="minorHAnsi"/>
          <w:sz w:val="24"/>
          <w:szCs w:val="24"/>
        </w:rPr>
        <w:t xml:space="preserve"> </w:t>
      </w:r>
      <w:r>
        <w:rPr>
          <w:rFonts w:asciiTheme="minorHAnsi" w:hAnsiTheme="minorHAnsi" w:cstheme="minorHAnsi"/>
          <w:i/>
          <w:iCs/>
          <w:sz w:val="24"/>
          <w:szCs w:val="24"/>
        </w:rPr>
        <w:t xml:space="preserve">(Α’ 16) </w:t>
      </w:r>
      <w:r>
        <w:rPr>
          <w:rFonts w:asciiTheme="minorHAnsi" w:hAnsiTheme="minorHAnsi" w:cstheme="minorHAnsi"/>
          <w:sz w:val="24"/>
          <w:szCs w:val="24"/>
        </w:rPr>
        <w:t xml:space="preserve">ορίζονται όλες οι προϋποθέσεις για τον Χορηγό και τον Χορηγούμενο. </w:t>
      </w:r>
    </w:p>
    <w:p w14:paraId="1C405D16" w14:textId="77777777" w:rsidR="002A2422" w:rsidRDefault="003B3AD7">
      <w:pPr>
        <w:spacing w:before="60" w:after="60"/>
        <w:rPr>
          <w:rFonts w:asciiTheme="minorHAnsi" w:hAnsiTheme="minorHAnsi" w:cstheme="minorHAnsi"/>
          <w:sz w:val="24"/>
          <w:szCs w:val="24"/>
        </w:rPr>
      </w:pPr>
      <w:r>
        <w:rPr>
          <w:rFonts w:asciiTheme="minorHAnsi" w:hAnsiTheme="minorHAnsi" w:cstheme="minorHAnsi"/>
          <w:i/>
          <w:iCs/>
          <w:sz w:val="24"/>
          <w:szCs w:val="24"/>
        </w:rPr>
        <w:t>- Με το ν.1218/1981 «Περί Επιμελητηρίου Εικαστικών Τεχνών Ελλάδος» (Α’ 289),</w:t>
      </w:r>
      <w:r>
        <w:rPr>
          <w:rFonts w:asciiTheme="minorHAnsi" w:hAnsiTheme="minorHAnsi" w:cstheme="minorHAnsi"/>
          <w:sz w:val="24"/>
          <w:szCs w:val="24"/>
        </w:rPr>
        <w:t xml:space="preserve"> καθορίζεται η πιστοποίηση προσόντων σε θέματα Ζωγραφικής, Γλυπτικής, Χαρακτικής &amp; Διακοσμητικής, καθώς και για τα ιδιαίτερα καλλιτεχνικά και επαγγελματικά ζητήματα των Κλάδων. </w:t>
      </w:r>
    </w:p>
    <w:p w14:paraId="6C3FC71E"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 Επιπρόσθετα ο </w:t>
      </w:r>
      <w:r>
        <w:rPr>
          <w:rFonts w:asciiTheme="minorHAnsi" w:hAnsiTheme="minorHAnsi" w:cstheme="minorHAnsi"/>
          <w:i/>
          <w:iCs/>
          <w:sz w:val="24"/>
          <w:szCs w:val="24"/>
        </w:rPr>
        <w:t>ν.1597/1986 «περί Προστασίας και ανάπτυξης της κινηματογραφικής τέχνης», ενίσχυση της ελληνικής κινηματογραφίας και άλλες διατάξεις</w:t>
      </w:r>
      <w:r>
        <w:rPr>
          <w:rFonts w:asciiTheme="minorHAnsi" w:hAnsiTheme="minorHAnsi" w:cstheme="minorHAnsi"/>
          <w:sz w:val="24"/>
          <w:szCs w:val="24"/>
        </w:rPr>
        <w:t xml:space="preserve"> (ΦΕΚ 68) επικεντρώνεται στην εκμετάλλευση των ταινιών αλλά και στο Ελληνικό  Κέντρο Κινηματογράφου.  </w:t>
      </w:r>
    </w:p>
    <w:p w14:paraId="65C6B797"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Ο</w:t>
      </w:r>
      <w:r>
        <w:rPr>
          <w:rFonts w:asciiTheme="minorHAnsi" w:hAnsiTheme="minorHAnsi" w:cstheme="minorHAnsi"/>
          <w:i/>
          <w:iCs/>
          <w:sz w:val="24"/>
          <w:szCs w:val="24"/>
        </w:rPr>
        <w:t xml:space="preserve">  ν.1866/1989 «Ίδρυση Εθνικού Συμβουλίου Ραδιοτηλεόρασης και παροχή αδειών για την ίδρυση και λειτουργία τηλεοπτικών σταθμών» (</w:t>
      </w:r>
      <w:r>
        <w:rPr>
          <w:rFonts w:asciiTheme="minorHAnsi" w:hAnsiTheme="minorHAnsi" w:cstheme="minorHAnsi"/>
          <w:sz w:val="24"/>
          <w:szCs w:val="24"/>
        </w:rPr>
        <w:t xml:space="preserve">ΦΕΚ 222), επικεντρώνεται σε θέματα διασφάλισης αντικειμενικότητας, ισότητας, και ποιότητας των προγραμμάτων, καθώς επίσης και γνωμοδοτεί για τη χορήγηση αδειών λειτουργίας των τηλεοπτικών σταθμών. </w:t>
      </w:r>
    </w:p>
    <w:p w14:paraId="137E1910"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 Σύμφωνα με τον  ν.2273/1994 </w:t>
      </w:r>
      <w:r>
        <w:rPr>
          <w:rFonts w:asciiTheme="minorHAnsi" w:hAnsiTheme="minorHAnsi" w:cstheme="minorHAnsi"/>
          <w:i/>
          <w:sz w:val="24"/>
          <w:szCs w:val="24"/>
        </w:rPr>
        <w:t>«Εθνικό Θέατρο, Κρατικό Θέατρο Βορείου Ελλάδος και άλλες διατάξεις»</w:t>
      </w:r>
      <w:r>
        <w:rPr>
          <w:rFonts w:asciiTheme="minorHAnsi" w:hAnsiTheme="minorHAnsi" w:cstheme="minorHAnsi"/>
          <w:sz w:val="24"/>
          <w:szCs w:val="24"/>
        </w:rPr>
        <w:t xml:space="preserve"> (Α’ 233), με στόχο την προαγωγή της πνευματικής καλλιέργειας, καθώς και τη διαφύλαξη της εθνικής και πολιτιστικής ταυτότητας, τίθεται το πλαίσιο για την Κρατική Ορχήστρα Ελληνικής Μουσικής, την Ορχήστρα των Χρωμάτων, τον Μουσικό και Εκπαιδευτικό Οργανισμό Ελλάδος, την Εθνική Λυρική Σκηνή, το Εθνικό Κέντρο Βιβλίου.</w:t>
      </w:r>
    </w:p>
    <w:p w14:paraId="6794424B" w14:textId="77777777" w:rsidR="002A2422" w:rsidRDefault="003B3AD7">
      <w:pPr>
        <w:spacing w:before="60" w:after="60"/>
        <w:rPr>
          <w:rFonts w:asciiTheme="minorHAnsi" w:hAnsiTheme="minorHAnsi" w:cstheme="minorHAnsi"/>
          <w:i/>
          <w:iCs/>
          <w:sz w:val="24"/>
          <w:szCs w:val="24"/>
        </w:rPr>
      </w:pPr>
      <w:r>
        <w:rPr>
          <w:rFonts w:asciiTheme="minorHAnsi" w:hAnsiTheme="minorHAnsi" w:cstheme="minorHAnsi"/>
          <w:sz w:val="24"/>
          <w:szCs w:val="24"/>
        </w:rPr>
        <w:t xml:space="preserve">- Επιπρόσθετα, ο  </w:t>
      </w:r>
      <w:r>
        <w:rPr>
          <w:rFonts w:asciiTheme="minorHAnsi" w:hAnsiTheme="minorHAnsi" w:cstheme="minorHAnsi"/>
          <w:i/>
          <w:iCs/>
          <w:sz w:val="24"/>
          <w:szCs w:val="24"/>
        </w:rPr>
        <w:t xml:space="preserve">Ν. 2557/ 1997 «Θεσμοί, μέτρα και δράσεις πολιτιστικής ανάπτυξης» (Α’ 271) </w:t>
      </w:r>
      <w:r>
        <w:rPr>
          <w:rFonts w:asciiTheme="minorHAnsi" w:hAnsiTheme="minorHAnsi" w:cstheme="minorHAnsi"/>
          <w:sz w:val="24"/>
          <w:szCs w:val="24"/>
        </w:rPr>
        <w:t xml:space="preserve">στον οποίο γίνεται εκτενής αναφορά στα Γράμματα, τις Εικαστικές Τέχνες, τη Μουσική, το Θέατρο - Χορό - Κινηματογράφο, ορίζεται επιπρόσθετα η μουσειακή πολιτική, ως ο πυλώνας για την προβολή </w:t>
      </w:r>
      <w:r>
        <w:rPr>
          <w:rFonts w:asciiTheme="minorHAnsi" w:hAnsiTheme="minorHAnsi" w:cstheme="minorHAnsi"/>
          <w:i/>
          <w:iCs/>
          <w:sz w:val="24"/>
          <w:szCs w:val="24"/>
        </w:rPr>
        <w:t xml:space="preserve">και ανάδειξη της πολιτιστικής κληρονομιάς. </w:t>
      </w:r>
    </w:p>
    <w:p w14:paraId="3DC01C06" w14:textId="77777777" w:rsidR="002A2422" w:rsidRDefault="003B3AD7">
      <w:pPr>
        <w:spacing w:before="60" w:after="60"/>
        <w:rPr>
          <w:rFonts w:asciiTheme="minorHAnsi" w:hAnsiTheme="minorHAnsi" w:cstheme="minorHAnsi"/>
          <w:sz w:val="24"/>
          <w:szCs w:val="24"/>
        </w:rPr>
      </w:pPr>
      <w:r>
        <w:rPr>
          <w:rFonts w:asciiTheme="minorHAnsi" w:hAnsiTheme="minorHAnsi" w:cstheme="minorHAnsi"/>
          <w:i/>
          <w:iCs/>
          <w:sz w:val="24"/>
          <w:szCs w:val="24"/>
        </w:rPr>
        <w:lastRenderedPageBreak/>
        <w:t xml:space="preserve">- Ο ν.3004/2002 </w:t>
      </w:r>
      <w:r>
        <w:rPr>
          <w:rFonts w:asciiTheme="minorHAnsi" w:hAnsiTheme="minorHAnsi" w:cstheme="minorHAnsi"/>
          <w:sz w:val="24"/>
          <w:szCs w:val="24"/>
        </w:rPr>
        <w:t>αναφορικά με την</w:t>
      </w:r>
      <w:r>
        <w:rPr>
          <w:rFonts w:asciiTheme="minorHAnsi" w:hAnsiTheme="minorHAnsi" w:cstheme="minorHAnsi"/>
          <w:i/>
          <w:iCs/>
          <w:sz w:val="24"/>
          <w:szCs w:val="24"/>
        </w:rPr>
        <w:t xml:space="preserve"> Κύρωση της Ευρωπαϊκής Σύμβασης για τις Κινηματογραφικές συμπαραγωγές, στην οποία ορίζεται ότι τ</w:t>
      </w:r>
      <w:r>
        <w:rPr>
          <w:rFonts w:asciiTheme="minorHAnsi" w:hAnsiTheme="minorHAnsi" w:cstheme="minorHAnsi"/>
          <w:sz w:val="24"/>
          <w:szCs w:val="24"/>
        </w:rPr>
        <w:t xml:space="preserve">α μέρη της σύμβασης δεσμεύονται να ενθαρρύνουν την ανάπτυξη της κινηματογραφικής συμπαραγωγής. </w:t>
      </w:r>
    </w:p>
    <w:p w14:paraId="0DFFF7C9"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 Στο </w:t>
      </w:r>
      <w:r>
        <w:rPr>
          <w:rFonts w:asciiTheme="minorHAnsi" w:hAnsiTheme="minorHAnsi" w:cstheme="minorHAnsi"/>
          <w:i/>
          <w:iCs/>
          <w:sz w:val="24"/>
          <w:szCs w:val="24"/>
        </w:rPr>
        <w:t>ν.342/1976 «Περί του Οργανισμού της Κρατικής Σχολής Ορχηστικής Τέχνης»</w:t>
      </w:r>
      <w:r>
        <w:rPr>
          <w:rFonts w:asciiTheme="minorHAnsi" w:hAnsiTheme="minorHAnsi" w:cstheme="minorHAnsi"/>
          <w:sz w:val="24"/>
          <w:szCs w:val="24"/>
        </w:rPr>
        <w:t xml:space="preserve"> (</w:t>
      </w:r>
      <w:r>
        <w:rPr>
          <w:rFonts w:asciiTheme="minorHAnsi" w:hAnsiTheme="minorHAnsi" w:cstheme="minorHAnsi"/>
          <w:color w:val="000000"/>
          <w:sz w:val="24"/>
          <w:szCs w:val="24"/>
        </w:rPr>
        <w:t xml:space="preserve">Α’138), </w:t>
      </w:r>
      <w:r>
        <w:rPr>
          <w:rFonts w:asciiTheme="minorHAnsi" w:hAnsiTheme="minorHAnsi" w:cstheme="minorHAnsi"/>
          <w:sz w:val="24"/>
          <w:szCs w:val="24"/>
        </w:rPr>
        <w:t xml:space="preserve">ορίζεται η σκοπιμότητα καθώς και οι προϋποθέσεις για τη δημιουργία επαγγελματικών στελεχών της Ορχηστρικής Τέχνης (ήτοι Καθηγητές Ορχηστρικής, Χορευτών και Χορογράφων). </w:t>
      </w:r>
    </w:p>
    <w:p w14:paraId="2FD1992F"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Στο ν.</w:t>
      </w:r>
      <w:r>
        <w:rPr>
          <w:rFonts w:asciiTheme="minorHAnsi" w:hAnsiTheme="minorHAnsi" w:cstheme="minorHAnsi"/>
          <w:i/>
          <w:iCs/>
          <w:sz w:val="24"/>
          <w:szCs w:val="24"/>
        </w:rPr>
        <w:t>3565/2007 «περί ‘Ίδρυσης Εθνικού Κέντρου Θεάτρου και Χορού» (Α’ 112) , με</w:t>
      </w:r>
      <w:r>
        <w:rPr>
          <w:rFonts w:asciiTheme="minorHAnsi" w:hAnsiTheme="minorHAnsi" w:cstheme="minorHAnsi"/>
          <w:sz w:val="24"/>
          <w:szCs w:val="24"/>
        </w:rPr>
        <w:t xml:space="preserve"> σκοπό την εφαρμογή εθνικής πολιτικής για το Θέατρο και τον χορό και την υποστήριξη του Υπουργείου Πολιτισμού και Αθλητισμού στον καθορισμό και τον σχεδιασμό της, καθώς και την προαγωγή της θεατρικής και πρακτικής σκηνικής και καλλιτεχνικής δραστηριότητας που σχετίζεται με το θέατρο και τον χορό. </w:t>
      </w:r>
    </w:p>
    <w:p w14:paraId="16EE7EA3" w14:textId="77777777" w:rsidR="002A2422" w:rsidRDefault="002A2422">
      <w:pPr>
        <w:spacing w:before="60" w:after="60"/>
        <w:rPr>
          <w:rFonts w:asciiTheme="minorHAnsi" w:hAnsiTheme="minorHAnsi" w:cstheme="minorHAnsi"/>
          <w:sz w:val="24"/>
          <w:szCs w:val="24"/>
        </w:rPr>
      </w:pPr>
    </w:p>
    <w:p w14:paraId="567CEF88"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Επιπρόσθετα, εμβληματικές νομοθετικές πρωτοβουλίες αναλήφθηκαν για τη διασφάλιση των αρχαιολογικών έργων του ΕΣΠΑ 2014-2020. Συγκεκριμένα, το 2019 βγήκε η απόφαση (Π.Δ. 24/2019) που αφορά στο κανονιστικό πλαίσιο για την εκπόνηση μελετών και την εκτέλεση εργασιών σε ακίνητα μνημεία </w:t>
      </w:r>
      <w:proofErr w:type="spellStart"/>
      <w:r>
        <w:rPr>
          <w:rFonts w:asciiTheme="minorHAnsi" w:hAnsiTheme="minorHAnsi" w:cstheme="minorHAnsi"/>
          <w:sz w:val="24"/>
          <w:szCs w:val="24"/>
        </w:rPr>
        <w:t>κατ</w:t>
      </w:r>
      <w:proofErr w:type="spellEnd"/>
      <w:r>
        <w:rPr>
          <w:rFonts w:asciiTheme="minorHAnsi" w:hAnsiTheme="minorHAnsi" w:cstheme="minorHAnsi"/>
          <w:sz w:val="24"/>
          <w:szCs w:val="24"/>
        </w:rPr>
        <w:t xml:space="preserve">΄ εφαρμογή του άρθρου 40 του Ν. 3028/2002. Με την εν λόγω απόφαση τίθενται (για πρώτη φορά από το 2002) οι όροι εφαρμογής του άρθρου 40 του Ν. 3028/2002 (Α՛ 153) για την προστασία των Αρχαιοτήτων και εν γένει της Πολιτιστικής Κληρονομιάς, με αμοιβαίες επωφελείς συνέργειες στη βάση σαφών κριτηρίων και εντός ενός οριοθετημένου θεσμικού πλαισίου. </w:t>
      </w:r>
    </w:p>
    <w:p w14:paraId="11FE16B7"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Παράλληλα, θεραπεύτηκε η απουσία της σύμφωνης γνώμης για την εκτέλεση αρχαιολογικών έργων από τρίτους με τον νόμο 4355/2015 (άρθρο 11), ο οποίος ορίζει ως </w:t>
      </w:r>
      <w:proofErr w:type="spellStart"/>
      <w:r>
        <w:rPr>
          <w:rFonts w:asciiTheme="minorHAnsi" w:hAnsiTheme="minorHAnsi" w:cstheme="minorHAnsi"/>
          <w:sz w:val="24"/>
          <w:szCs w:val="24"/>
        </w:rPr>
        <w:t>προαπαιτούμενη</w:t>
      </w:r>
      <w:proofErr w:type="spellEnd"/>
      <w:r>
        <w:rPr>
          <w:rFonts w:asciiTheme="minorHAnsi" w:hAnsiTheme="minorHAnsi" w:cstheme="minorHAnsi"/>
          <w:sz w:val="24"/>
          <w:szCs w:val="24"/>
        </w:rPr>
        <w:t xml:space="preserve"> την προηγούμενη σύμφωνη γνώμη του ΥΠΠΟΑ προς εξασφάλιση ποιοτικών όρων στα έργα επί μνημείων.</w:t>
      </w:r>
    </w:p>
    <w:p w14:paraId="5BBA29F2" w14:textId="77777777" w:rsidR="002A2422" w:rsidRDefault="002A2422">
      <w:pPr>
        <w:spacing w:before="60" w:after="60"/>
        <w:rPr>
          <w:rFonts w:asciiTheme="minorHAnsi" w:hAnsiTheme="minorHAnsi" w:cstheme="minorHAnsi"/>
          <w:sz w:val="24"/>
          <w:szCs w:val="24"/>
        </w:rPr>
      </w:pPr>
    </w:p>
    <w:p w14:paraId="0FE7FCFD"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Αναφορικά με την ευρωπαϊκή νομοθεσία για την Πολιτιστική Κληρονομιά έχει εκδοθεί πλήθος νομοθετικών πράξεων, με πιο πρόσφατο τον </w:t>
      </w:r>
      <w:r>
        <w:rPr>
          <w:rFonts w:asciiTheme="minorHAnsi" w:hAnsiTheme="minorHAnsi" w:cstheme="minorHAnsi"/>
          <w:b/>
          <w:bCs/>
          <w:sz w:val="24"/>
          <w:szCs w:val="24"/>
        </w:rPr>
        <w:t>Κανονισμό (ΕΚ) αριθ. 1526/98</w:t>
      </w:r>
      <w:r>
        <w:rPr>
          <w:rFonts w:asciiTheme="minorHAnsi" w:hAnsiTheme="minorHAnsi" w:cstheme="minorHAnsi"/>
          <w:sz w:val="24"/>
          <w:szCs w:val="24"/>
        </w:rPr>
        <w:t xml:space="preserve"> της Επιτροπής της </w:t>
      </w:r>
      <w:r>
        <w:rPr>
          <w:rFonts w:asciiTheme="minorHAnsi" w:hAnsiTheme="minorHAnsi" w:cstheme="minorHAnsi"/>
          <w:sz w:val="24"/>
          <w:szCs w:val="24"/>
        </w:rPr>
        <w:lastRenderedPageBreak/>
        <w:t xml:space="preserve">16ης Ιουλίου 1998 για την τροποποίηση του κανονισμού (ΕΟΚ) αριθ. 752/93, περί διατάξεων εφαρμογής του κανονισμού (ΕΟΚ) αριθ. 3911/92 του Συμβουλίου, σχετικά με την εξαγωγή πολιτιστικών αγαθών, καθώς και </w:t>
      </w:r>
      <w:r>
        <w:rPr>
          <w:rFonts w:asciiTheme="minorHAnsi" w:hAnsiTheme="minorHAnsi" w:cstheme="minorHAnsi"/>
          <w:b/>
          <w:bCs/>
          <w:sz w:val="24"/>
          <w:szCs w:val="24"/>
        </w:rPr>
        <w:t>την  Οδηγία 93/7/ΕΟΚ</w:t>
      </w:r>
      <w:r>
        <w:rPr>
          <w:rFonts w:asciiTheme="minorHAnsi" w:hAnsiTheme="minorHAnsi" w:cstheme="minorHAnsi"/>
          <w:sz w:val="24"/>
          <w:szCs w:val="24"/>
        </w:rPr>
        <w:t xml:space="preserve"> του Συμβουλίου της 15ης Μαρτίου 1993, σχετικά με την επιστροφή πολιτιστικών αγαθών που έχουν παράνομα απομακρυνθεί από το έδαφος κράτους μέλους.</w:t>
      </w:r>
    </w:p>
    <w:p w14:paraId="51E121BE"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Σύμφωνα με το Ν.4727/2020 για την </w:t>
      </w:r>
      <w:r>
        <w:rPr>
          <w:rFonts w:asciiTheme="minorHAnsi" w:hAnsiTheme="minorHAnsi" w:cstheme="minorHAnsi"/>
          <w:i/>
          <w:iCs/>
          <w:sz w:val="24"/>
          <w:szCs w:val="24"/>
        </w:rPr>
        <w:t>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w:t>
      </w:r>
      <w:r>
        <w:rPr>
          <w:rFonts w:asciiTheme="minorHAnsi" w:hAnsiTheme="minorHAnsi" w:cstheme="minorHAnsi"/>
          <w:sz w:val="24"/>
          <w:szCs w:val="24"/>
        </w:rPr>
        <w:t xml:space="preserve">, καθώς και βάσει του Εθνικού Προγράμματος Ανάπτυξης, στο σκέλος του Πολιτισμού, αναφέρεται ότι υπάρχουν σημαντικά περιθώρια περαιτέρω ανάπτυξης του πολιτιστικού αποθέματος της χώρας με τη χρήση ΤΠΕ. Αυτά περιλαμβάνουν ενέργειες όπως </w:t>
      </w:r>
      <w:proofErr w:type="spellStart"/>
      <w:r>
        <w:rPr>
          <w:rFonts w:asciiTheme="minorHAnsi" w:hAnsiTheme="minorHAnsi" w:cstheme="minorHAnsi"/>
          <w:sz w:val="24"/>
          <w:szCs w:val="24"/>
        </w:rPr>
        <w:t>ψηφιοποίηση</w:t>
      </w:r>
      <w:proofErr w:type="spellEnd"/>
      <w:r>
        <w:rPr>
          <w:rFonts w:asciiTheme="minorHAnsi" w:hAnsiTheme="minorHAnsi" w:cstheme="minorHAnsi"/>
          <w:sz w:val="24"/>
          <w:szCs w:val="24"/>
        </w:rPr>
        <w:t xml:space="preserve"> πολιτιστικού αποθέματος, δημιουργία ψηφιακού περιεχομένου, δημιουργία υποδομών εύκολης πρόσβασης στο ηλεκτρονικό πολιτισμικό περιεχόμενο, δημιουργία συστημάτων διανομής, προβολή του πολιτισμικού αποθέματος, δημιουργία πολιτισμικών </w:t>
      </w:r>
      <w:r>
        <w:rPr>
          <w:rFonts w:asciiTheme="minorHAnsi" w:hAnsiTheme="minorHAnsi" w:cstheme="minorHAnsi"/>
          <w:sz w:val="24"/>
          <w:szCs w:val="24"/>
          <w:lang w:val="en-US"/>
        </w:rPr>
        <w:t>portal</w:t>
      </w:r>
      <w:r>
        <w:rPr>
          <w:rFonts w:asciiTheme="minorHAnsi" w:hAnsiTheme="minorHAnsi" w:cstheme="minorHAnsi"/>
          <w:sz w:val="24"/>
          <w:szCs w:val="24"/>
        </w:rPr>
        <w:t>, ψηφιακή καλλιτεχνική δημιουργία, ψηφιακή τέχνη, εικονικές περιηγήσεις σε μουσεία, εικονικά μουσεία και αίθουσες τέχνης και χρήση τεχνολογιών επαυξημένης πραγματικότητας. Μάλιστα, κρίνεται αναγκαία η ψηφιακή ενσωμάτωση του Τομέα του Πολιτισμού, με δράσεις οριζόντιου χαρακτήρα.</w:t>
      </w:r>
    </w:p>
    <w:p w14:paraId="44D859D4" w14:textId="77777777" w:rsidR="002A2422" w:rsidRDefault="002A2422">
      <w:pPr>
        <w:spacing w:before="60" w:after="60"/>
        <w:rPr>
          <w:rFonts w:asciiTheme="minorHAnsi" w:hAnsiTheme="minorHAnsi" w:cstheme="minorHAnsi"/>
          <w:sz w:val="24"/>
          <w:szCs w:val="24"/>
        </w:rPr>
      </w:pPr>
    </w:p>
    <w:p w14:paraId="3AFAF1C2"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Ο </w:t>
      </w:r>
      <w:r>
        <w:rPr>
          <w:rFonts w:asciiTheme="minorHAnsi" w:hAnsiTheme="minorHAnsi" w:cstheme="minorHAnsi"/>
          <w:b/>
          <w:sz w:val="24"/>
          <w:szCs w:val="24"/>
        </w:rPr>
        <w:t>αθλητισμός</w:t>
      </w:r>
      <w:r>
        <w:rPr>
          <w:rFonts w:asciiTheme="minorHAnsi" w:hAnsiTheme="minorHAnsi" w:cstheme="minorHAnsi"/>
          <w:sz w:val="24"/>
          <w:szCs w:val="24"/>
        </w:rPr>
        <w:t xml:space="preserve"> ρυθμίζεται κατά βάση από τον ν. 2725/1999. Εκεί προβλέπονται θεσμικές έννοιες όπως το πλαίσιο που διέπει τα αθλητικά σωματεία, τις αθλητικές ενώσεις, τις αθλητικές ομοσπονδίες, τον αθλητισμό των ατόμων με ειδικές ανάγκες, τους προπονητές, τους αθλητές, τη Γενική Γραμματεία Αθλητισμού, την αντιμετώπιση της βίας, τις αθλητικές εκδηλώσεις, τις αθλητικές εγκαταστάσεις, τους διαιτητές, τα τμήματα αμειβομένων αθλητών, τις αθλητικές ανώνυμες εταιρίες, τα δικαιοδοτικά όργανα, το </w:t>
      </w:r>
      <w:proofErr w:type="spellStart"/>
      <w:r>
        <w:rPr>
          <w:rFonts w:asciiTheme="minorHAnsi" w:hAnsiTheme="minorHAnsi" w:cstheme="minorHAnsi"/>
          <w:sz w:val="24"/>
          <w:szCs w:val="24"/>
        </w:rPr>
        <w:t>ντοπινγκ</w:t>
      </w:r>
      <w:proofErr w:type="spellEnd"/>
      <w:r>
        <w:rPr>
          <w:rFonts w:asciiTheme="minorHAnsi" w:hAnsiTheme="minorHAnsi" w:cstheme="minorHAnsi"/>
          <w:sz w:val="24"/>
          <w:szCs w:val="24"/>
        </w:rPr>
        <w:t xml:space="preserve"> και τον ερασιτεχνικό και επαγγελματικό αθλητισμό.</w:t>
      </w:r>
    </w:p>
    <w:p w14:paraId="48196DDA" w14:textId="77777777" w:rsidR="002A2422" w:rsidRDefault="003B3AD7">
      <w:pPr>
        <w:spacing w:before="60" w:after="60"/>
        <w:rPr>
          <w:rFonts w:asciiTheme="minorHAnsi" w:hAnsiTheme="minorHAnsi"/>
          <w:sz w:val="24"/>
          <w:szCs w:val="24"/>
        </w:rPr>
      </w:pPr>
      <w:r>
        <w:rPr>
          <w:rFonts w:asciiTheme="minorHAnsi" w:hAnsiTheme="minorHAnsi"/>
          <w:sz w:val="24"/>
          <w:szCs w:val="24"/>
        </w:rPr>
        <w:lastRenderedPageBreak/>
        <w:t>Με τον ν. 3479/2006 ρυθμίστηκε η οργάνωση, λειτουργία και το πλαίσιο των αθλητικών επαγγελματικών ενώσεων.</w:t>
      </w:r>
    </w:p>
    <w:p w14:paraId="12981DE3" w14:textId="77777777" w:rsidR="002A2422" w:rsidRDefault="003B3AD7">
      <w:pPr>
        <w:spacing w:before="60" w:after="60"/>
        <w:rPr>
          <w:rFonts w:asciiTheme="minorHAnsi" w:hAnsiTheme="minorHAnsi"/>
          <w:sz w:val="24"/>
          <w:szCs w:val="24"/>
        </w:rPr>
      </w:pPr>
      <w:r>
        <w:rPr>
          <w:rFonts w:asciiTheme="minorHAnsi" w:hAnsiTheme="minorHAnsi"/>
          <w:sz w:val="24"/>
          <w:szCs w:val="24"/>
        </w:rPr>
        <w:t>Με το ΠΔ 219/2006, καθορίστηκαν οι όροι και οι προϋποθέσεις λειτουργίας των ιδιωτικών γυμναστηρίων.</w:t>
      </w:r>
    </w:p>
    <w:p w14:paraId="70BF5133" w14:textId="77777777" w:rsidR="002A2422" w:rsidRDefault="003B3AD7">
      <w:pPr>
        <w:spacing w:before="60" w:after="60"/>
        <w:rPr>
          <w:rFonts w:asciiTheme="minorHAnsi" w:hAnsiTheme="minorHAnsi"/>
          <w:sz w:val="24"/>
          <w:szCs w:val="24"/>
        </w:rPr>
      </w:pPr>
      <w:r>
        <w:rPr>
          <w:rFonts w:asciiTheme="minorHAnsi" w:hAnsiTheme="minorHAnsi"/>
          <w:sz w:val="24"/>
          <w:szCs w:val="24"/>
        </w:rPr>
        <w:t xml:space="preserve">Με τον ν. 3516/2006, έγινε η Κύρωση της Διεθνούς Σύμβασης κατά της </w:t>
      </w:r>
      <w:proofErr w:type="spellStart"/>
      <w:r>
        <w:rPr>
          <w:rFonts w:asciiTheme="minorHAnsi" w:hAnsiTheme="minorHAnsi"/>
          <w:sz w:val="24"/>
          <w:szCs w:val="24"/>
        </w:rPr>
        <w:t>φαρμακοδιέγερσης</w:t>
      </w:r>
      <w:proofErr w:type="spellEnd"/>
      <w:r>
        <w:rPr>
          <w:rFonts w:asciiTheme="minorHAnsi" w:hAnsiTheme="minorHAnsi"/>
          <w:sz w:val="24"/>
          <w:szCs w:val="24"/>
        </w:rPr>
        <w:t xml:space="preserve"> στον αθλητισμό.</w:t>
      </w:r>
    </w:p>
    <w:p w14:paraId="769AF328" w14:textId="77777777" w:rsidR="002A2422" w:rsidRDefault="003B3AD7">
      <w:pPr>
        <w:spacing w:before="60" w:after="60"/>
        <w:rPr>
          <w:rFonts w:asciiTheme="minorHAnsi" w:hAnsiTheme="minorHAnsi"/>
          <w:sz w:val="24"/>
          <w:szCs w:val="24"/>
        </w:rPr>
      </w:pPr>
      <w:r>
        <w:rPr>
          <w:rFonts w:asciiTheme="minorHAnsi" w:hAnsiTheme="minorHAnsi"/>
          <w:sz w:val="24"/>
          <w:szCs w:val="24"/>
        </w:rPr>
        <w:t xml:space="preserve">Με τον ν. 4049/2012, </w:t>
      </w:r>
      <w:proofErr w:type="spellStart"/>
      <w:r>
        <w:rPr>
          <w:rFonts w:asciiTheme="minorHAnsi" w:hAnsiTheme="minorHAnsi"/>
          <w:sz w:val="24"/>
          <w:szCs w:val="24"/>
        </w:rPr>
        <w:t>επικαιροποιήθηκε</w:t>
      </w:r>
      <w:proofErr w:type="spellEnd"/>
      <w:r>
        <w:rPr>
          <w:rFonts w:asciiTheme="minorHAnsi" w:hAnsiTheme="minorHAnsi"/>
          <w:sz w:val="24"/>
          <w:szCs w:val="24"/>
        </w:rPr>
        <w:t xml:space="preserve"> το πλαίσιο για την αντιμετώπιση της βίας, του </w:t>
      </w:r>
      <w:proofErr w:type="spellStart"/>
      <w:r>
        <w:rPr>
          <w:rFonts w:asciiTheme="minorHAnsi" w:hAnsiTheme="minorHAnsi"/>
          <w:sz w:val="24"/>
          <w:szCs w:val="24"/>
        </w:rPr>
        <w:t>ντοπινγκ</w:t>
      </w:r>
      <w:proofErr w:type="spellEnd"/>
      <w:r>
        <w:rPr>
          <w:rFonts w:asciiTheme="minorHAnsi" w:hAnsiTheme="minorHAnsi"/>
          <w:sz w:val="24"/>
          <w:szCs w:val="24"/>
        </w:rPr>
        <w:t xml:space="preserve"> και των </w:t>
      </w:r>
      <w:proofErr w:type="spellStart"/>
      <w:r>
        <w:rPr>
          <w:rFonts w:asciiTheme="minorHAnsi" w:hAnsiTheme="minorHAnsi"/>
          <w:sz w:val="24"/>
          <w:szCs w:val="24"/>
        </w:rPr>
        <w:t>προσυνεννοημένων</w:t>
      </w:r>
      <w:proofErr w:type="spellEnd"/>
      <w:r>
        <w:rPr>
          <w:rFonts w:asciiTheme="minorHAnsi" w:hAnsiTheme="minorHAnsi"/>
          <w:sz w:val="24"/>
          <w:szCs w:val="24"/>
        </w:rPr>
        <w:t xml:space="preserve"> αγώνων στον αθλητισμό</w:t>
      </w:r>
    </w:p>
    <w:p w14:paraId="316F3972" w14:textId="77777777" w:rsidR="002A2422" w:rsidRDefault="003B3AD7">
      <w:pPr>
        <w:spacing w:before="60" w:after="60"/>
        <w:rPr>
          <w:rFonts w:asciiTheme="minorHAnsi" w:hAnsiTheme="minorHAnsi"/>
          <w:sz w:val="24"/>
          <w:szCs w:val="24"/>
        </w:rPr>
      </w:pPr>
      <w:r>
        <w:rPr>
          <w:rFonts w:asciiTheme="minorHAnsi" w:hAnsiTheme="minorHAnsi"/>
          <w:sz w:val="24"/>
          <w:szCs w:val="24"/>
        </w:rPr>
        <w:t>Με τον ν. 4373/2016, έγιναν οι αναγκαίες ρυθμίσεις για την εναρμόνιση της ελληνικής νομοθεσίας με τον νέο Κώδικα Αντιντόπινγκ του Παγκόσμιου Οργανισμού Αντιντόπινγκ.</w:t>
      </w:r>
    </w:p>
    <w:p w14:paraId="12FBA442" w14:textId="77777777" w:rsidR="002A2422" w:rsidRDefault="003B3AD7">
      <w:pPr>
        <w:spacing w:before="60" w:after="60"/>
        <w:rPr>
          <w:rFonts w:asciiTheme="minorHAnsi" w:hAnsiTheme="minorHAnsi"/>
          <w:sz w:val="24"/>
          <w:szCs w:val="24"/>
        </w:rPr>
      </w:pPr>
      <w:r>
        <w:rPr>
          <w:rFonts w:asciiTheme="minorHAnsi" w:hAnsiTheme="minorHAnsi"/>
          <w:sz w:val="24"/>
          <w:szCs w:val="24"/>
        </w:rPr>
        <w:t xml:space="preserve">Ο ν. 4639/2019 αποτέλεσε ορόσημο για την αθλητική μεταρρύθμιση, με την Κύρωση της Σύμβασης </w:t>
      </w:r>
      <w:proofErr w:type="spellStart"/>
      <w:r>
        <w:rPr>
          <w:rFonts w:asciiTheme="minorHAnsi" w:hAnsiTheme="minorHAnsi"/>
          <w:sz w:val="24"/>
          <w:szCs w:val="24"/>
        </w:rPr>
        <w:t>Μακολέν</w:t>
      </w:r>
      <w:proofErr w:type="spellEnd"/>
      <w:r>
        <w:rPr>
          <w:rFonts w:asciiTheme="minorHAnsi" w:hAnsiTheme="minorHAnsi"/>
          <w:sz w:val="24"/>
          <w:szCs w:val="24"/>
        </w:rPr>
        <w:t xml:space="preserve"> για την αντιμετώπιση της χειραγώγησης των αγώνων, αλλά και τη θέσπιση ορίου θητειών και ηλικίας στις διοικήσεις των Αθλητικών Ομοσπονδιών.</w:t>
      </w:r>
    </w:p>
    <w:p w14:paraId="5AD92349" w14:textId="77777777" w:rsidR="002A2422" w:rsidRDefault="003B3AD7">
      <w:pPr>
        <w:spacing w:before="60" w:after="60"/>
        <w:rPr>
          <w:rFonts w:asciiTheme="minorHAnsi" w:hAnsiTheme="minorHAnsi"/>
          <w:sz w:val="24"/>
          <w:szCs w:val="24"/>
        </w:rPr>
      </w:pPr>
      <w:r>
        <w:rPr>
          <w:rFonts w:asciiTheme="minorHAnsi" w:hAnsiTheme="minorHAnsi"/>
          <w:sz w:val="24"/>
          <w:szCs w:val="24"/>
        </w:rPr>
        <w:t>Με τον ν. 4726/2020, θεσμοθετήθηκε για πρώτη φορά η συμμετοχή των αθλητών στις διοικήσεις των Αθλητικών Ομοσπονδιών, έγινε η σύσταση της Εθνικής Πλατφόρμας Αθλητικής Ακεραιότητας (Ε.Π.ΑΘΛ.Α.) ενώ κατοχυρώθηκαν θεσμικά το Μητρώο των Αθλητικών Σωματείων και το Μητρώο Προπονητών.</w:t>
      </w:r>
    </w:p>
    <w:p w14:paraId="572B80E8" w14:textId="77777777" w:rsidR="002A2422" w:rsidRDefault="003B3AD7">
      <w:pPr>
        <w:spacing w:before="60" w:after="60"/>
        <w:rPr>
          <w:rFonts w:asciiTheme="minorHAnsi" w:hAnsiTheme="minorHAnsi" w:cstheme="minorHAnsi"/>
          <w:sz w:val="24"/>
          <w:szCs w:val="24"/>
        </w:rPr>
      </w:pPr>
      <w:r>
        <w:rPr>
          <w:rFonts w:asciiTheme="minorHAnsi" w:hAnsiTheme="minorHAnsi"/>
          <w:sz w:val="24"/>
          <w:szCs w:val="24"/>
        </w:rPr>
        <w:t>Με τον. 4791/2021, η ελληνική νομοθεσία εναρμονίστηκε με τον Παγκόσμιο Κώδικα Αντιντόπινγκ που τέθηκε σε ισχύ από 01.01.2021.</w:t>
      </w:r>
    </w:p>
    <w:p w14:paraId="3AFD38DF" w14:textId="77777777" w:rsidR="002A2422" w:rsidRDefault="002A2422">
      <w:pPr>
        <w:spacing w:before="60" w:after="60"/>
        <w:rPr>
          <w:rFonts w:asciiTheme="minorHAnsi" w:hAnsiTheme="minorHAnsi" w:cstheme="minorHAnsi"/>
          <w:sz w:val="24"/>
          <w:szCs w:val="24"/>
        </w:rPr>
      </w:pPr>
    </w:p>
    <w:p w14:paraId="1F7B8EC4" w14:textId="77777777" w:rsidR="002A2422" w:rsidRDefault="003B3AD7">
      <w:pPr>
        <w:spacing w:before="60" w:after="60"/>
        <w:rPr>
          <w:rFonts w:asciiTheme="minorHAnsi" w:hAnsiTheme="minorHAnsi" w:cstheme="minorHAnsi"/>
          <w:b/>
          <w:bCs/>
          <w:sz w:val="24"/>
          <w:szCs w:val="24"/>
        </w:rPr>
      </w:pPr>
      <w:r>
        <w:rPr>
          <w:rFonts w:asciiTheme="minorHAnsi" w:hAnsiTheme="minorHAnsi" w:cstheme="minorHAnsi"/>
          <w:b/>
          <w:bCs/>
          <w:sz w:val="24"/>
          <w:szCs w:val="24"/>
        </w:rPr>
        <w:t xml:space="preserve">Τομείς Παρέμβασης ΕΠΑ </w:t>
      </w:r>
    </w:p>
    <w:p w14:paraId="6220C12E"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Το Τομεακό Πρόγραμμα Ανάπτυξης του Υπουργείου Πολιτισμού, χωρίζεται σε τρία  </w:t>
      </w:r>
      <w:proofErr w:type="spellStart"/>
      <w:r>
        <w:rPr>
          <w:rFonts w:asciiTheme="minorHAnsi" w:hAnsiTheme="minorHAnsi" w:cstheme="minorHAnsi"/>
          <w:sz w:val="24"/>
          <w:szCs w:val="24"/>
        </w:rPr>
        <w:t>Υποπρογράμματα</w:t>
      </w:r>
      <w:proofErr w:type="spellEnd"/>
      <w:r>
        <w:rPr>
          <w:rFonts w:asciiTheme="minorHAnsi" w:hAnsiTheme="minorHAnsi" w:cstheme="minorHAnsi"/>
          <w:sz w:val="24"/>
          <w:szCs w:val="24"/>
        </w:rPr>
        <w:t xml:space="preserve"> Α, Β και Γ κατ’ αναλογία με την αρμοδιότητα των  Γενικών Γραμματειών του ΥΠΠΟΑ. Το </w:t>
      </w:r>
      <w:proofErr w:type="spellStart"/>
      <w:r>
        <w:rPr>
          <w:rFonts w:asciiTheme="minorHAnsi" w:hAnsiTheme="minorHAnsi" w:cstheme="minorHAnsi"/>
          <w:sz w:val="24"/>
          <w:szCs w:val="24"/>
        </w:rPr>
        <w:t>Υποπρόγραμμα</w:t>
      </w:r>
      <w:proofErr w:type="spellEnd"/>
      <w:r>
        <w:rPr>
          <w:rFonts w:asciiTheme="minorHAnsi" w:hAnsiTheme="minorHAnsi" w:cstheme="minorHAnsi"/>
          <w:sz w:val="24"/>
          <w:szCs w:val="24"/>
        </w:rPr>
        <w:t xml:space="preserve"> Α’ αφορά την Πολιτιστική Κληρονομιά, το </w:t>
      </w:r>
      <w:proofErr w:type="spellStart"/>
      <w:r>
        <w:rPr>
          <w:rFonts w:asciiTheme="minorHAnsi" w:hAnsiTheme="minorHAnsi" w:cstheme="minorHAnsi"/>
          <w:sz w:val="24"/>
          <w:szCs w:val="24"/>
        </w:rPr>
        <w:t>Υποπρόγραμμα</w:t>
      </w:r>
      <w:proofErr w:type="spellEnd"/>
      <w:r>
        <w:rPr>
          <w:rFonts w:asciiTheme="minorHAnsi" w:hAnsiTheme="minorHAnsi" w:cstheme="minorHAnsi"/>
          <w:sz w:val="24"/>
          <w:szCs w:val="24"/>
        </w:rPr>
        <w:t xml:space="preserve"> Β’ τον Σύγχρονο Πολιτισμό και το </w:t>
      </w:r>
      <w:proofErr w:type="spellStart"/>
      <w:r>
        <w:rPr>
          <w:rFonts w:asciiTheme="minorHAnsi" w:hAnsiTheme="minorHAnsi" w:cstheme="minorHAnsi"/>
          <w:sz w:val="24"/>
          <w:szCs w:val="24"/>
        </w:rPr>
        <w:t>Υποπρόγραμμα</w:t>
      </w:r>
      <w:proofErr w:type="spellEnd"/>
      <w:r>
        <w:rPr>
          <w:rFonts w:asciiTheme="minorHAnsi" w:hAnsiTheme="minorHAnsi" w:cstheme="minorHAnsi"/>
          <w:sz w:val="24"/>
          <w:szCs w:val="24"/>
        </w:rPr>
        <w:t xml:space="preserve"> Γ’ τον Αθλητισμό. </w:t>
      </w:r>
    </w:p>
    <w:p w14:paraId="1D9FE298" w14:textId="77777777" w:rsidR="002A2422" w:rsidRDefault="003B3AD7">
      <w:pPr>
        <w:spacing w:before="60" w:after="60"/>
        <w:rPr>
          <w:rFonts w:asciiTheme="minorHAnsi" w:hAnsiTheme="minorHAnsi" w:cstheme="minorHAnsi"/>
          <w:b/>
          <w:sz w:val="24"/>
          <w:szCs w:val="24"/>
        </w:rPr>
      </w:pPr>
      <w:r>
        <w:rPr>
          <w:rFonts w:asciiTheme="minorHAnsi" w:hAnsiTheme="minorHAnsi" w:cstheme="minorHAnsi"/>
          <w:b/>
          <w:sz w:val="24"/>
          <w:szCs w:val="24"/>
        </w:rPr>
        <w:t>(1) Τομέας Πολιτισμού</w:t>
      </w:r>
    </w:p>
    <w:p w14:paraId="19C4B5BE"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lastRenderedPageBreak/>
        <w:t xml:space="preserve">Μέσα από τα δύο Τομεακά </w:t>
      </w:r>
      <w:proofErr w:type="spellStart"/>
      <w:r>
        <w:rPr>
          <w:rFonts w:asciiTheme="minorHAnsi" w:hAnsiTheme="minorHAnsi" w:cstheme="minorHAnsi"/>
          <w:sz w:val="24"/>
          <w:szCs w:val="24"/>
        </w:rPr>
        <w:t>Υποπρογράμματα</w:t>
      </w:r>
      <w:proofErr w:type="spellEnd"/>
      <w:r>
        <w:rPr>
          <w:rFonts w:asciiTheme="minorHAnsi" w:hAnsiTheme="minorHAnsi" w:cstheme="minorHAnsi"/>
          <w:sz w:val="24"/>
          <w:szCs w:val="24"/>
        </w:rPr>
        <w:t xml:space="preserve"> Ανάπτυξης του Τομέα Πολιτισμού του Υπουργείου Πολιτισμού και Αθλητισμού, επιδιώκεται η προβολή και διάσωση της πολιτιστικής κληρονομιάς (</w:t>
      </w:r>
      <w:proofErr w:type="spellStart"/>
      <w:r>
        <w:rPr>
          <w:rFonts w:asciiTheme="minorHAnsi" w:hAnsiTheme="minorHAnsi" w:cstheme="minorHAnsi"/>
          <w:sz w:val="24"/>
          <w:szCs w:val="24"/>
        </w:rPr>
        <w:t>ΥπΑ</w:t>
      </w:r>
      <w:proofErr w:type="spellEnd"/>
      <w:r>
        <w:rPr>
          <w:rFonts w:asciiTheme="minorHAnsi" w:hAnsiTheme="minorHAnsi" w:cstheme="minorHAnsi"/>
          <w:sz w:val="24"/>
          <w:szCs w:val="24"/>
        </w:rPr>
        <w:t>) και η υποστήριξη και ανάπτυξη της σύγχρονης καλλιτεχνικής δημιουργίας (</w:t>
      </w:r>
      <w:proofErr w:type="spellStart"/>
      <w:r>
        <w:rPr>
          <w:rFonts w:asciiTheme="minorHAnsi" w:hAnsiTheme="minorHAnsi" w:cstheme="minorHAnsi"/>
          <w:sz w:val="24"/>
          <w:szCs w:val="24"/>
        </w:rPr>
        <w:t>ΥπΒ</w:t>
      </w:r>
      <w:proofErr w:type="spellEnd"/>
      <w:r>
        <w:rPr>
          <w:rFonts w:asciiTheme="minorHAnsi" w:hAnsiTheme="minorHAnsi" w:cstheme="minorHAnsi"/>
          <w:sz w:val="24"/>
          <w:szCs w:val="24"/>
        </w:rPr>
        <w:t xml:space="preserve">). </w:t>
      </w:r>
    </w:p>
    <w:p w14:paraId="2A7CE94E" w14:textId="77777777" w:rsidR="002A2422" w:rsidRDefault="003B3AD7">
      <w:pPr>
        <w:spacing w:before="60" w:after="60"/>
        <w:rPr>
          <w:rFonts w:asciiTheme="minorHAnsi" w:hAnsiTheme="minorHAnsi" w:cstheme="minorHAnsi"/>
          <w:sz w:val="24"/>
          <w:szCs w:val="24"/>
        </w:rPr>
      </w:pPr>
      <w:bookmarkStart w:id="11" w:name="_Toc11943399"/>
      <w:bookmarkStart w:id="12" w:name="_Toc12025020"/>
      <w:r>
        <w:rPr>
          <w:rFonts w:asciiTheme="minorHAnsi" w:hAnsiTheme="minorHAnsi" w:cstheme="minorHAnsi"/>
          <w:b/>
          <w:bCs/>
          <w:sz w:val="24"/>
          <w:szCs w:val="24"/>
        </w:rPr>
        <w:t xml:space="preserve">Οι τομείς παρέμβασης στο </w:t>
      </w:r>
      <w:proofErr w:type="spellStart"/>
      <w:r>
        <w:rPr>
          <w:rFonts w:asciiTheme="minorHAnsi" w:hAnsiTheme="minorHAnsi" w:cstheme="minorHAnsi"/>
          <w:b/>
          <w:bCs/>
          <w:sz w:val="24"/>
          <w:szCs w:val="24"/>
        </w:rPr>
        <w:t>Υποπρόγραμμα</w:t>
      </w:r>
      <w:proofErr w:type="spellEnd"/>
      <w:r>
        <w:rPr>
          <w:rFonts w:asciiTheme="minorHAnsi" w:hAnsiTheme="minorHAnsi" w:cstheme="minorHAnsi"/>
          <w:b/>
          <w:bCs/>
          <w:sz w:val="24"/>
          <w:szCs w:val="24"/>
        </w:rPr>
        <w:t xml:space="preserve"> Α’ “Πολιτιστική Κληρονομιά” </w:t>
      </w:r>
      <w:r>
        <w:rPr>
          <w:rFonts w:asciiTheme="minorHAnsi" w:hAnsiTheme="minorHAnsi" w:cstheme="minorHAnsi"/>
          <w:sz w:val="24"/>
          <w:szCs w:val="24"/>
        </w:rPr>
        <w:t>αφορούν σε ανασκαφές, αναστηλώσεις, εκδηλώσεις, εκδόσεις, εκθέσεις, εκπαιδευτικά προγράμματα, έργα υποδομής, μεγάλα προγράμματα, προγράμματα (αναπτυξιακά, διεθνή, ελληνικά - συνεργασίες, ερευνητικά προγράμματα, ευρωπαϊκά κ.α.) και συντηρήσεις. Στην αρμοδιότητα του τομέα εμπίπτει η συνέχιση των έργων της πολιτιστικής κληρονομιάς για τη συντήρηση, ανάδειξη και αξιοποίησή της.</w:t>
      </w:r>
    </w:p>
    <w:bookmarkEnd w:id="11"/>
    <w:bookmarkEnd w:id="12"/>
    <w:p w14:paraId="150F206B"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Ο Τομέας Πολιτιστικής Κληρονομιάς της Γενικής Γραμματείας Πολιτισμού επικεντρώνεται στην ανάδειξη των αρχαιοτήτων, στους αρχαιολογικούς χώρους, τα αρχαιολογικά Μουσεία, τη συντήρηση των μνημείων και των κτηρίων. Έχει ως στρατηγική τον προγραμματισμό δράσεων για ανασκαφικές εργασίες, συντήρηση κτιρίων, μουσείων, αρχαιολογικών χώρων και αναστήλωση μνημείων. Απώτερο στόχο έχει την ανάδειξη της πολιτιστικής κληρονομιάς, δίδοντας ιδιαίτερη έμφαση στην προσβασιμότητα και </w:t>
      </w:r>
      <w:proofErr w:type="spellStart"/>
      <w:r>
        <w:rPr>
          <w:rFonts w:asciiTheme="minorHAnsi" w:hAnsiTheme="minorHAnsi" w:cstheme="minorHAnsi"/>
          <w:sz w:val="24"/>
          <w:szCs w:val="24"/>
        </w:rPr>
        <w:t>επισκεψιμότητα</w:t>
      </w:r>
      <w:proofErr w:type="spellEnd"/>
      <w:r>
        <w:rPr>
          <w:rFonts w:asciiTheme="minorHAnsi" w:hAnsiTheme="minorHAnsi" w:cstheme="minorHAnsi"/>
          <w:sz w:val="24"/>
          <w:szCs w:val="24"/>
        </w:rPr>
        <w:t xml:space="preserve"> σε όλους τους χώρους πολιτιστικού ενδιαφέροντος.</w:t>
      </w:r>
    </w:p>
    <w:p w14:paraId="005B5C80"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Οι κύριες εκροές του προγράμματος αφορούν σε μελέτες ανασκαφών και αναστηλώσεων, δημιουργία μουσείων και πολιτιστικών κτιρίων, με στόχο τη συμβολή στη διάσωση, προστασία, ανάδειξη και προβολή του συνόλου της πολιτιστικής κληρονομιάς, καθώς και την προαγωγή της επιστημονικής έρευνας. Επιπρόσθετα, ο Τομέας Πολιτισμού στοχεύει στην αποκατάσταση και ανάδειξη μνημείων, την προστασία των νεότερων μνημείων, ιστορικών τόπων και αρχαιολογικών χώρων. Στον τομέα ανήκουν </w:t>
      </w:r>
      <w:r>
        <w:rPr>
          <w:rFonts w:asciiTheme="minorHAnsi" w:eastAsia="Times New Roman" w:hAnsiTheme="minorHAnsi" w:cstheme="minorHAnsi"/>
          <w:color w:val="00000A"/>
          <w:sz w:val="24"/>
          <w:szCs w:val="24"/>
          <w:shd w:val="clear" w:color="auto" w:fill="FFFFFF"/>
        </w:rPr>
        <w:t xml:space="preserve">τα αρχαιολογικά έργα προστασίας, συντήρησης και ανάδειξης, καθώς και η </w:t>
      </w:r>
      <w:r>
        <w:rPr>
          <w:rFonts w:asciiTheme="minorHAnsi" w:eastAsia="Times New Roman" w:hAnsiTheme="minorHAnsi" w:cstheme="minorHAnsi"/>
          <w:color w:val="00000A"/>
          <w:sz w:val="24"/>
          <w:szCs w:val="24"/>
        </w:rPr>
        <w:t>οργανική διασύνδεση της πολιτιστικής κληρονομιάς με την κοινωνία. Επίσης υπάγονται</w:t>
      </w:r>
      <w:r>
        <w:rPr>
          <w:rFonts w:asciiTheme="minorHAnsi" w:hAnsiTheme="minorHAnsi" w:cstheme="minorHAnsi"/>
          <w:sz w:val="24"/>
          <w:szCs w:val="24"/>
        </w:rPr>
        <w:t xml:space="preserve"> τα προγράμματα ασφάλειας και πυρασφάλειας των Μουσείων και των Αρχαιολογικών Χώρων, προστασίας από την κλιματική αλλαγή αλλά και ενίσχυσης δράσεων βιώσιμης και αειφόρου ανάπτυξης.</w:t>
      </w:r>
    </w:p>
    <w:p w14:paraId="4BF853BF"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lastRenderedPageBreak/>
        <w:t xml:space="preserve">Κύριο στόχο αποτελεί επίσης η ενίσχυση της ελκυστικότητας και της </w:t>
      </w:r>
      <w:proofErr w:type="spellStart"/>
      <w:r>
        <w:rPr>
          <w:rFonts w:asciiTheme="minorHAnsi" w:hAnsiTheme="minorHAnsi" w:cstheme="minorHAnsi"/>
          <w:sz w:val="24"/>
          <w:szCs w:val="24"/>
        </w:rPr>
        <w:t>επισκεψιμότητας</w:t>
      </w:r>
      <w:proofErr w:type="spellEnd"/>
      <w:r>
        <w:rPr>
          <w:rFonts w:asciiTheme="minorHAnsi" w:hAnsiTheme="minorHAnsi" w:cstheme="minorHAnsi"/>
          <w:sz w:val="24"/>
          <w:szCs w:val="24"/>
        </w:rPr>
        <w:t xml:space="preserve"> των αρχαιολογικών χώρων, μνημείων και μουσείων. Μέσω της ψηφιακής αναβάθμισης, το ΥΠΠΟΑ αποσκοπεί στον </w:t>
      </w:r>
      <w:proofErr w:type="spellStart"/>
      <w:r>
        <w:rPr>
          <w:rFonts w:asciiTheme="minorHAnsi" w:hAnsiTheme="minorHAnsi" w:cstheme="minorHAnsi"/>
          <w:sz w:val="24"/>
          <w:szCs w:val="24"/>
        </w:rPr>
        <w:t>εξορθολογισμό</w:t>
      </w:r>
      <w:proofErr w:type="spellEnd"/>
      <w:r>
        <w:rPr>
          <w:rFonts w:asciiTheme="minorHAnsi" w:hAnsiTheme="minorHAnsi" w:cstheme="minorHAnsi"/>
          <w:sz w:val="24"/>
          <w:szCs w:val="24"/>
        </w:rPr>
        <w:t xml:space="preserve"> και την παρακολούθηση των εσόδων του, προσβλέπει στην αύξηση της αυτοχρηματοδότησης του πολιτισμού και στην αξιοποίηση της περιουσίας του.  </w:t>
      </w:r>
    </w:p>
    <w:p w14:paraId="10B1978A" w14:textId="77777777" w:rsidR="002A2422" w:rsidRDefault="003B3AD7">
      <w:pPr>
        <w:spacing w:before="60" w:after="60"/>
        <w:rPr>
          <w:rFonts w:asciiTheme="minorHAnsi" w:eastAsia="Times New Roman" w:hAnsiTheme="minorHAnsi" w:cstheme="minorHAnsi"/>
          <w:color w:val="00000A"/>
          <w:sz w:val="24"/>
          <w:szCs w:val="24"/>
          <w:shd w:val="clear" w:color="auto" w:fill="FFFFFF"/>
        </w:rPr>
      </w:pPr>
      <w:r>
        <w:rPr>
          <w:rFonts w:asciiTheme="minorHAnsi" w:hAnsiTheme="minorHAnsi" w:cstheme="minorHAnsi"/>
          <w:sz w:val="24"/>
          <w:szCs w:val="24"/>
        </w:rPr>
        <w:t xml:space="preserve">Εν </w:t>
      </w:r>
      <w:proofErr w:type="spellStart"/>
      <w:r>
        <w:rPr>
          <w:rFonts w:asciiTheme="minorHAnsi" w:hAnsiTheme="minorHAnsi" w:cstheme="minorHAnsi"/>
          <w:sz w:val="24"/>
          <w:szCs w:val="24"/>
        </w:rPr>
        <w:t>συνόψει</w:t>
      </w:r>
      <w:proofErr w:type="spellEnd"/>
      <w:r>
        <w:rPr>
          <w:rFonts w:asciiTheme="minorHAnsi" w:hAnsiTheme="minorHAnsi" w:cstheme="minorHAnsi"/>
          <w:sz w:val="24"/>
          <w:szCs w:val="24"/>
        </w:rPr>
        <w:t xml:space="preserve">, </w:t>
      </w:r>
      <w:r>
        <w:rPr>
          <w:rFonts w:asciiTheme="minorHAnsi" w:eastAsia="Times New Roman" w:hAnsiTheme="minorHAnsi" w:cstheme="minorHAnsi"/>
          <w:color w:val="00000A"/>
          <w:sz w:val="24"/>
          <w:szCs w:val="24"/>
          <w:shd w:val="clear" w:color="auto" w:fill="FFFFFF"/>
        </w:rPr>
        <w:t xml:space="preserve">μέσω του </w:t>
      </w:r>
      <w:proofErr w:type="spellStart"/>
      <w:r>
        <w:rPr>
          <w:rFonts w:asciiTheme="minorHAnsi" w:eastAsia="Times New Roman" w:hAnsiTheme="minorHAnsi" w:cstheme="minorHAnsi"/>
          <w:color w:val="00000A"/>
          <w:sz w:val="24"/>
          <w:szCs w:val="24"/>
          <w:shd w:val="clear" w:color="auto" w:fill="FFFFFF"/>
        </w:rPr>
        <w:t>Υποπρογράμματος</w:t>
      </w:r>
      <w:proofErr w:type="spellEnd"/>
      <w:r>
        <w:rPr>
          <w:rFonts w:asciiTheme="minorHAnsi" w:eastAsia="Times New Roman" w:hAnsiTheme="minorHAnsi" w:cstheme="minorHAnsi"/>
          <w:color w:val="00000A"/>
          <w:sz w:val="24"/>
          <w:szCs w:val="24"/>
          <w:shd w:val="clear" w:color="auto" w:fill="FFFFFF"/>
        </w:rPr>
        <w:t xml:space="preserve"> Α’, το ΥΠΠΟΑ στοχεύει στη  χάραξη συνολικής στρατηγικής για την πολιτιστική κληρονομιά, καθώς και στην ανάδειξη του ρόλου της πολιτιστικής κληρονομιάς, σε όρους </w:t>
      </w:r>
      <w:proofErr w:type="spellStart"/>
      <w:r>
        <w:rPr>
          <w:rFonts w:asciiTheme="minorHAnsi" w:eastAsia="Times New Roman" w:hAnsiTheme="minorHAnsi" w:cstheme="minorHAnsi"/>
          <w:color w:val="00000A"/>
          <w:sz w:val="24"/>
          <w:szCs w:val="24"/>
          <w:shd w:val="clear" w:color="auto" w:fill="FFFFFF"/>
        </w:rPr>
        <w:t>αειφορίας</w:t>
      </w:r>
      <w:proofErr w:type="spellEnd"/>
      <w:r>
        <w:rPr>
          <w:rFonts w:asciiTheme="minorHAnsi" w:eastAsia="Times New Roman" w:hAnsiTheme="minorHAnsi" w:cstheme="minorHAnsi"/>
          <w:color w:val="00000A"/>
          <w:sz w:val="24"/>
          <w:szCs w:val="24"/>
          <w:shd w:val="clear" w:color="auto" w:fill="FFFFFF"/>
        </w:rPr>
        <w:t xml:space="preserve">. </w:t>
      </w:r>
    </w:p>
    <w:p w14:paraId="080F4022" w14:textId="77777777" w:rsidR="002A2422" w:rsidRDefault="002A2422">
      <w:pPr>
        <w:spacing w:before="60" w:after="60"/>
        <w:rPr>
          <w:rFonts w:asciiTheme="minorHAnsi" w:eastAsia="Times New Roman" w:hAnsiTheme="minorHAnsi" w:cstheme="minorHAnsi"/>
          <w:color w:val="00000A"/>
          <w:sz w:val="24"/>
          <w:szCs w:val="24"/>
        </w:rPr>
      </w:pPr>
    </w:p>
    <w:p w14:paraId="4C1C1844" w14:textId="77777777" w:rsidR="002A2422" w:rsidRDefault="003B3AD7">
      <w:pPr>
        <w:spacing w:before="60" w:after="60"/>
        <w:rPr>
          <w:rFonts w:asciiTheme="minorHAnsi" w:hAnsiTheme="minorHAnsi" w:cstheme="minorHAnsi"/>
          <w:b/>
          <w:bCs/>
          <w:sz w:val="24"/>
          <w:szCs w:val="24"/>
        </w:rPr>
      </w:pPr>
      <w:r>
        <w:rPr>
          <w:rFonts w:asciiTheme="minorHAnsi" w:hAnsiTheme="minorHAnsi" w:cstheme="minorHAnsi"/>
          <w:b/>
          <w:bCs/>
          <w:sz w:val="24"/>
          <w:szCs w:val="24"/>
        </w:rPr>
        <w:t xml:space="preserve">Οι τομείς παρέμβασης στο </w:t>
      </w:r>
      <w:proofErr w:type="spellStart"/>
      <w:r>
        <w:rPr>
          <w:rFonts w:asciiTheme="minorHAnsi" w:hAnsiTheme="minorHAnsi" w:cstheme="minorHAnsi"/>
          <w:b/>
          <w:bCs/>
          <w:sz w:val="24"/>
          <w:szCs w:val="24"/>
        </w:rPr>
        <w:t>Υποπρόγραμμα</w:t>
      </w:r>
      <w:proofErr w:type="spellEnd"/>
      <w:r>
        <w:rPr>
          <w:rFonts w:asciiTheme="minorHAnsi" w:hAnsiTheme="minorHAnsi" w:cstheme="minorHAnsi"/>
          <w:b/>
          <w:bCs/>
          <w:sz w:val="24"/>
          <w:szCs w:val="24"/>
        </w:rPr>
        <w:t xml:space="preserve"> Β’  «Σύγχρονος Πολιτισμός» </w:t>
      </w:r>
    </w:p>
    <w:p w14:paraId="6CDBC038"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Οι τομείς παρέμβασης στον τομέα του Σύγχρονου Πολιτισμού διαχωρίζονται σε πυλώνες, και συγκεκριμένα σε εκδηλώσεις, εκδόσεις, εκθέσεις, εκπαιδευτικά προγράμματα, επιχορηγήσεις, έργα υποδομής, κρατικά βραβεία, μεγάλα προγράμματα, προγράμματα (αναπτυξιακά, διεθνή, ελληνικά – συνεργασίες, ερευνητικά προγράμματα, ευρωπαϊκά </w:t>
      </w:r>
      <w:proofErr w:type="spellStart"/>
      <w:r>
        <w:rPr>
          <w:rFonts w:asciiTheme="minorHAnsi" w:hAnsiTheme="minorHAnsi" w:cstheme="minorHAnsi"/>
          <w:sz w:val="24"/>
          <w:szCs w:val="24"/>
        </w:rPr>
        <w:t>κ.α</w:t>
      </w:r>
      <w:proofErr w:type="spellEnd"/>
      <w:r>
        <w:rPr>
          <w:rFonts w:asciiTheme="minorHAnsi" w:hAnsiTheme="minorHAnsi" w:cstheme="minorHAnsi"/>
          <w:sz w:val="24"/>
          <w:szCs w:val="24"/>
        </w:rPr>
        <w:t>). Στο πλαίσιο του τομέα παρέμβασης ανήκει η ενίσχυση και αναβάθμιση του σύγχρονου πολιτισμού και της καλλιτεχνικής δημιουργίας, παράλληλα με την αναβάθμιση του σύγχρονου πολιτισμού και της εθνικής και περιφερειακής πολιτικής σύγκλισης.</w:t>
      </w:r>
      <w:r>
        <w:rPr>
          <w:rFonts w:asciiTheme="minorHAnsi" w:hAnsiTheme="minorHAnsi" w:cstheme="minorHAnsi"/>
          <w:b/>
          <w:bCs/>
          <w:sz w:val="24"/>
          <w:szCs w:val="24"/>
        </w:rPr>
        <w:t xml:space="preserve"> </w:t>
      </w:r>
    </w:p>
    <w:p w14:paraId="456A042D"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Οι τομείς παρέμβασης στον τομέα του σύγχρονου πολιτισμού,  διαχωρίζονται σε πυλώνες, με στόχο ένα νέο μοντέλο πολιτισμικής συνοχής και αειφόρου ανάπτυξης. Παράλληλα, ο τομέας επικεντρώνεται στην αξιοποίηση του σύγχρονου πολιτισμικού κεφαλαίου, με βάση τις παραμέτρους της σύγχρονης πολιτισμικής πραγματικότητας.</w:t>
      </w:r>
    </w:p>
    <w:p w14:paraId="0F2F187A" w14:textId="77777777" w:rsidR="002A2422" w:rsidRDefault="002A2422">
      <w:pPr>
        <w:spacing w:before="60" w:after="60"/>
        <w:rPr>
          <w:rFonts w:asciiTheme="minorHAnsi" w:hAnsiTheme="minorHAnsi" w:cstheme="minorHAnsi"/>
          <w:sz w:val="24"/>
          <w:szCs w:val="24"/>
        </w:rPr>
      </w:pPr>
    </w:p>
    <w:p w14:paraId="1CCAC9E7" w14:textId="77777777" w:rsidR="002A2422" w:rsidRDefault="003B3AD7">
      <w:pPr>
        <w:spacing w:before="60" w:after="60"/>
        <w:rPr>
          <w:rFonts w:asciiTheme="minorHAnsi" w:hAnsiTheme="minorHAnsi" w:cstheme="minorHAnsi"/>
          <w:b/>
          <w:sz w:val="24"/>
          <w:szCs w:val="24"/>
        </w:rPr>
      </w:pPr>
      <w:r>
        <w:rPr>
          <w:rFonts w:asciiTheme="minorHAnsi" w:hAnsiTheme="minorHAnsi" w:cstheme="minorHAnsi"/>
          <w:b/>
          <w:sz w:val="24"/>
          <w:szCs w:val="24"/>
        </w:rPr>
        <w:t xml:space="preserve">Οι Τομείς Παρέμβασης στο </w:t>
      </w:r>
      <w:proofErr w:type="spellStart"/>
      <w:r>
        <w:rPr>
          <w:rFonts w:asciiTheme="minorHAnsi" w:hAnsiTheme="minorHAnsi" w:cstheme="minorHAnsi"/>
          <w:b/>
          <w:sz w:val="24"/>
          <w:szCs w:val="24"/>
        </w:rPr>
        <w:t>Υποπρόγραμμα</w:t>
      </w:r>
      <w:proofErr w:type="spellEnd"/>
      <w:r>
        <w:rPr>
          <w:rFonts w:asciiTheme="minorHAnsi" w:hAnsiTheme="minorHAnsi" w:cstheme="minorHAnsi"/>
          <w:b/>
          <w:sz w:val="24"/>
          <w:szCs w:val="24"/>
        </w:rPr>
        <w:t xml:space="preserve"> Γ’ Αθλητισμός</w:t>
      </w:r>
    </w:p>
    <w:p w14:paraId="2AB064A2"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Το Υφυπουργείο Αθλητισμού στοχεύει στον εκσυγχρονισμό του αθλητικού γίγνεσθαι, με τη δημιουργία και αναβάθμιση αθλητικών εγκαταστάσεων σε όλη τη χώρα, στο πνεύμα της πράσινης ανάπτυξης. </w:t>
      </w:r>
      <w:r>
        <w:rPr>
          <w:rFonts w:asciiTheme="minorHAnsi" w:hAnsiTheme="minorHAnsi" w:cstheme="minorHAnsi"/>
          <w:sz w:val="24"/>
          <w:szCs w:val="24"/>
          <w:lang w:val="en-US"/>
        </w:rPr>
        <w:t>H</w:t>
      </w:r>
      <w:r>
        <w:rPr>
          <w:rFonts w:asciiTheme="minorHAnsi" w:hAnsiTheme="minorHAnsi" w:cstheme="minorHAnsi"/>
          <w:sz w:val="24"/>
          <w:szCs w:val="24"/>
        </w:rPr>
        <w:t xml:space="preserve"> δημιουργία περισσότερων αθλητικών εγκαταστάσεων, όπως και η υλοποίηση έργων συντήρησης και αναβάθμισης στις υπάρχουσες δομές, συντελεί στην </w:t>
      </w:r>
      <w:r>
        <w:rPr>
          <w:rFonts w:asciiTheme="minorHAnsi" w:hAnsiTheme="minorHAnsi" w:cstheme="minorHAnsi"/>
          <w:sz w:val="24"/>
          <w:szCs w:val="24"/>
        </w:rPr>
        <w:lastRenderedPageBreak/>
        <w:t xml:space="preserve">καλλιέργεια και την προώθηση όλων των αθλημάτων, καθώς και στην παρακίνηση περισσότερων πολιτών στην αθλητική δραστηριότητα, αφού αποκτούν περισσότερες εναλλακτικές επιλογές για την άθλησή τους. Επιπλέον, βασική επιδίωξη του Υφυπουργείου αποτελεί η </w:t>
      </w:r>
      <w:proofErr w:type="spellStart"/>
      <w:r>
        <w:rPr>
          <w:rFonts w:asciiTheme="minorHAnsi" w:hAnsiTheme="minorHAnsi" w:cstheme="minorHAnsi"/>
          <w:sz w:val="24"/>
          <w:szCs w:val="24"/>
        </w:rPr>
        <w:t>ψηφιοποίηση</w:t>
      </w:r>
      <w:proofErr w:type="spellEnd"/>
      <w:r>
        <w:rPr>
          <w:rFonts w:asciiTheme="minorHAnsi" w:hAnsiTheme="minorHAnsi" w:cstheme="minorHAnsi"/>
          <w:sz w:val="24"/>
          <w:szCs w:val="24"/>
        </w:rPr>
        <w:t xml:space="preserve"> των παροχών των αθλητικών εγκαταστάσεων, η δημιουργία πεδίου για τη δημιουργία ψηφιακών γεγονότων και απόκτησης πληροφοριών ηλεκτρονικά, όπως  και η απλοποίηση των διαδικασιών στη Γ.Γ.Α και στους εποπτευόμενους φορείς.</w:t>
      </w:r>
    </w:p>
    <w:p w14:paraId="4C1159CA" w14:textId="77777777" w:rsidR="002A2422" w:rsidRDefault="003B3AD7">
      <w:pPr>
        <w:spacing w:before="60" w:after="60"/>
        <w:rPr>
          <w:rFonts w:asciiTheme="minorHAnsi" w:eastAsia="Times New Roman" w:hAnsiTheme="minorHAnsi" w:cstheme="minorHAnsi"/>
          <w:color w:val="00000A"/>
          <w:sz w:val="24"/>
          <w:szCs w:val="24"/>
        </w:rPr>
      </w:pPr>
      <w:r>
        <w:rPr>
          <w:rFonts w:asciiTheme="minorHAnsi" w:hAnsiTheme="minorHAnsi" w:cstheme="minorHAnsi"/>
          <w:sz w:val="24"/>
          <w:szCs w:val="24"/>
        </w:rPr>
        <w:t xml:space="preserve">Εν </w:t>
      </w:r>
      <w:proofErr w:type="spellStart"/>
      <w:r>
        <w:rPr>
          <w:rFonts w:asciiTheme="minorHAnsi" w:hAnsiTheme="minorHAnsi" w:cstheme="minorHAnsi"/>
          <w:sz w:val="24"/>
          <w:szCs w:val="24"/>
        </w:rPr>
        <w:t>συνόψει</w:t>
      </w:r>
      <w:proofErr w:type="spellEnd"/>
      <w:r>
        <w:rPr>
          <w:rFonts w:asciiTheme="minorHAnsi" w:hAnsiTheme="minorHAnsi" w:cstheme="minorHAnsi"/>
          <w:sz w:val="24"/>
          <w:szCs w:val="24"/>
        </w:rPr>
        <w:t xml:space="preserve">, η πολιτική του ΥΠΠΟΑ στον τομέα της πολιτιστικής κληρονομιάς αφορά στη </w:t>
      </w:r>
      <w:r>
        <w:rPr>
          <w:rFonts w:asciiTheme="minorHAnsi" w:eastAsia="Times New Roman" w:hAnsiTheme="minorHAnsi" w:cstheme="minorHAnsi"/>
          <w:color w:val="00000A"/>
          <w:sz w:val="24"/>
          <w:szCs w:val="24"/>
          <w:shd w:val="clear" w:color="auto" w:fill="FFFFFF"/>
        </w:rPr>
        <w:t xml:space="preserve">διασφάλιση και ορθή διαχείριση της πολιτιστικής κληρονομιάς. Επιπρόσθετα, μέσω του   </w:t>
      </w:r>
      <w:proofErr w:type="spellStart"/>
      <w:r>
        <w:rPr>
          <w:rFonts w:asciiTheme="minorHAnsi" w:eastAsia="Times New Roman" w:hAnsiTheme="minorHAnsi" w:cstheme="minorHAnsi"/>
          <w:color w:val="00000A"/>
          <w:sz w:val="24"/>
          <w:szCs w:val="24"/>
          <w:shd w:val="clear" w:color="auto" w:fill="FFFFFF"/>
        </w:rPr>
        <w:t>Υποπρογράμματος</w:t>
      </w:r>
      <w:proofErr w:type="spellEnd"/>
      <w:r>
        <w:rPr>
          <w:rFonts w:asciiTheme="minorHAnsi" w:eastAsia="Times New Roman" w:hAnsiTheme="minorHAnsi" w:cstheme="minorHAnsi"/>
          <w:color w:val="00000A"/>
          <w:sz w:val="24"/>
          <w:szCs w:val="24"/>
          <w:shd w:val="clear" w:color="auto" w:fill="FFFFFF"/>
        </w:rPr>
        <w:t xml:space="preserve"> Β, το Υπουργείο Πολιτισμού στοχεύει στη  χάραξη συνολικής στρατηγικής για τον σύγχρονο πολιτισμό καθώς και στην ανάδειξη του πολιτιστικού αποθέματος, σε όρους </w:t>
      </w:r>
      <w:proofErr w:type="spellStart"/>
      <w:r>
        <w:rPr>
          <w:rFonts w:asciiTheme="minorHAnsi" w:eastAsia="Times New Roman" w:hAnsiTheme="minorHAnsi" w:cstheme="minorHAnsi"/>
          <w:color w:val="00000A"/>
          <w:sz w:val="24"/>
          <w:szCs w:val="24"/>
          <w:shd w:val="clear" w:color="auto" w:fill="FFFFFF"/>
        </w:rPr>
        <w:t>αειφορίας</w:t>
      </w:r>
      <w:proofErr w:type="spellEnd"/>
      <w:r>
        <w:rPr>
          <w:rFonts w:asciiTheme="minorHAnsi" w:eastAsia="Times New Roman" w:hAnsiTheme="minorHAnsi" w:cstheme="minorHAnsi"/>
          <w:color w:val="00000A"/>
          <w:sz w:val="24"/>
          <w:szCs w:val="24"/>
          <w:shd w:val="clear" w:color="auto" w:fill="FFFFFF"/>
        </w:rPr>
        <w:t xml:space="preserve">. Στον Τομέα του Πολιτισμού υπάγονται και τα αρχαιολογικά έργα προστασίας, συντήρησης και ανάδειξης καθώς και η </w:t>
      </w:r>
      <w:r>
        <w:rPr>
          <w:rFonts w:asciiTheme="minorHAnsi" w:eastAsia="Times New Roman" w:hAnsiTheme="minorHAnsi" w:cstheme="minorHAnsi"/>
          <w:color w:val="00000A"/>
          <w:sz w:val="24"/>
          <w:szCs w:val="24"/>
        </w:rPr>
        <w:t xml:space="preserve">οργανική διασύνδεση της πολιτιστικής κληρονομιάς με την κοινωνία. Μέσω του </w:t>
      </w:r>
      <w:proofErr w:type="spellStart"/>
      <w:r>
        <w:rPr>
          <w:rFonts w:asciiTheme="minorHAnsi" w:eastAsia="Times New Roman" w:hAnsiTheme="minorHAnsi" w:cstheme="minorHAnsi"/>
          <w:color w:val="00000A"/>
          <w:sz w:val="24"/>
          <w:szCs w:val="24"/>
        </w:rPr>
        <w:t>Υποπρογράμματος</w:t>
      </w:r>
      <w:proofErr w:type="spellEnd"/>
      <w:r>
        <w:rPr>
          <w:rFonts w:asciiTheme="minorHAnsi" w:eastAsia="Times New Roman" w:hAnsiTheme="minorHAnsi" w:cstheme="minorHAnsi"/>
          <w:color w:val="00000A"/>
          <w:sz w:val="24"/>
          <w:szCs w:val="24"/>
        </w:rPr>
        <w:t xml:space="preserve"> Γ για τον Αθλητισμό, γίνεται στόχευση για τη χάραξη στρατηγικής για την προώθηση των αξιών του αθλητισμού και του ολυμπιακού ιδεώδους στην κοινωνία, μέσω της αναβάθμισης των αθλητικών εγκαταστάσεων, την ενίσχυση της εξωστρέφειας με την προσέλκυση διοργανώσεων και τη δημιουργία ευνοϊκών συνθηκών για την παρακίνηση των πολιτών στην αθλητική δραστηριότητα.</w:t>
      </w:r>
    </w:p>
    <w:p w14:paraId="50AE8A66" w14:textId="77777777" w:rsidR="002A2422" w:rsidRDefault="002A2422">
      <w:pPr>
        <w:rPr>
          <w:rFonts w:asciiTheme="minorHAnsi" w:hAnsiTheme="minorHAnsi" w:cstheme="minorHAnsi"/>
          <w:sz w:val="24"/>
          <w:szCs w:val="24"/>
        </w:rPr>
      </w:pPr>
    </w:p>
    <w:tbl>
      <w:tblPr>
        <w:tblStyle w:val="51"/>
        <w:tblW w:w="1083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2622"/>
        <w:gridCol w:w="2716"/>
        <w:gridCol w:w="2734"/>
      </w:tblGrid>
      <w:tr w:rsidR="002A2422" w14:paraId="67480416" w14:textId="77777777" w:rsidTr="002A24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66" w:type="dxa"/>
            <w:vAlign w:val="center"/>
          </w:tcPr>
          <w:p w14:paraId="53005A19" w14:textId="77777777" w:rsidR="002A2422" w:rsidRDefault="003B3AD7">
            <w:pPr>
              <w:pStyle w:val="ad"/>
              <w:spacing w:before="20" w:after="20" w:line="259" w:lineRule="auto"/>
              <w:ind w:left="0" w:right="543"/>
              <w:jc w:val="left"/>
              <w:rPr>
                <w:rFonts w:asciiTheme="minorHAnsi" w:eastAsia="Times New Roman" w:hAnsiTheme="minorHAnsi" w:cstheme="minorHAnsi"/>
                <w:i w:val="0"/>
                <w:iCs w:val="0"/>
                <w:sz w:val="20"/>
                <w:szCs w:val="20"/>
              </w:rPr>
            </w:pPr>
            <w:proofErr w:type="spellStart"/>
            <w:r>
              <w:rPr>
                <w:rFonts w:asciiTheme="minorHAnsi" w:hAnsiTheme="minorHAnsi" w:cstheme="minorHAnsi"/>
                <w:b/>
                <w:bCs/>
                <w:i w:val="0"/>
                <w:iCs w:val="0"/>
                <w:sz w:val="20"/>
                <w:szCs w:val="20"/>
              </w:rPr>
              <w:t>Υποπρόγραμμα</w:t>
            </w:r>
            <w:proofErr w:type="spellEnd"/>
            <w:r>
              <w:rPr>
                <w:rFonts w:asciiTheme="minorHAnsi" w:hAnsiTheme="minorHAnsi" w:cstheme="minorHAnsi"/>
                <w:b/>
                <w:bCs/>
                <w:i w:val="0"/>
                <w:iCs w:val="0"/>
                <w:sz w:val="20"/>
                <w:szCs w:val="20"/>
              </w:rPr>
              <w:t xml:space="preserve"> Α  |Πολιτιστική Κληρονομιά</w:t>
            </w:r>
          </w:p>
        </w:tc>
        <w:tc>
          <w:tcPr>
            <w:tcW w:w="2622" w:type="dxa"/>
            <w:shd w:val="clear" w:color="auto" w:fill="F2F2F2" w:themeFill="background1" w:themeFillShade="F2"/>
            <w:vAlign w:val="center"/>
          </w:tcPr>
          <w:p w14:paraId="4F8D5243" w14:textId="77777777" w:rsidR="002A2422" w:rsidRDefault="003B3AD7">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r>
              <w:rPr>
                <w:rFonts w:asciiTheme="minorHAnsi" w:eastAsia="Times New Roman" w:hAnsiTheme="minorHAnsi" w:cstheme="minorHAnsi"/>
                <w:sz w:val="20"/>
                <w:szCs w:val="20"/>
              </w:rPr>
              <w:t xml:space="preserve">Ενίσχυση </w:t>
            </w:r>
            <w:proofErr w:type="spellStart"/>
            <w:r>
              <w:rPr>
                <w:rFonts w:asciiTheme="minorHAnsi" w:eastAsia="Times New Roman" w:hAnsiTheme="minorHAnsi" w:cstheme="minorHAnsi"/>
                <w:sz w:val="20"/>
                <w:szCs w:val="20"/>
              </w:rPr>
              <w:t>επισκεψιμότητας</w:t>
            </w:r>
            <w:proofErr w:type="spellEnd"/>
            <w:r>
              <w:rPr>
                <w:rFonts w:asciiTheme="minorHAnsi" w:eastAsia="Times New Roman" w:hAnsiTheme="minorHAnsi" w:cstheme="minorHAnsi"/>
                <w:sz w:val="20"/>
                <w:szCs w:val="20"/>
              </w:rPr>
              <w:t xml:space="preserve"> και ελκυστικότητας χώρων  πολιτισμού. </w:t>
            </w:r>
          </w:p>
          <w:p w14:paraId="7B99C4BB" w14:textId="77777777" w:rsidR="002A2422" w:rsidRDefault="002A2422">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p>
          <w:p w14:paraId="551D2574" w14:textId="77777777" w:rsidR="002A2422" w:rsidRDefault="003B3AD7">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r>
              <w:rPr>
                <w:rFonts w:asciiTheme="minorHAnsi" w:eastAsia="Times New Roman" w:hAnsiTheme="minorHAnsi" w:cstheme="minorHAnsi"/>
                <w:sz w:val="20"/>
                <w:szCs w:val="20"/>
              </w:rPr>
              <w:t xml:space="preserve">Πλούσια πολιτιστική κληρονομιά, ως ευκαιρία ανάπτυξης. </w:t>
            </w:r>
          </w:p>
          <w:p w14:paraId="5A32C627" w14:textId="77777777" w:rsidR="002A2422" w:rsidRDefault="002A2422">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p>
          <w:p w14:paraId="68E8BF66" w14:textId="77777777" w:rsidR="002A2422" w:rsidRDefault="003B3AD7">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r>
              <w:rPr>
                <w:rFonts w:asciiTheme="minorHAnsi" w:eastAsia="Times New Roman" w:hAnsiTheme="minorHAnsi" w:cstheme="minorHAnsi"/>
                <w:sz w:val="20"/>
                <w:szCs w:val="20"/>
              </w:rPr>
              <w:t xml:space="preserve"> Εφαρμογή </w:t>
            </w:r>
            <w:r>
              <w:rPr>
                <w:rFonts w:asciiTheme="minorHAnsi" w:eastAsia="Times New Roman" w:hAnsiTheme="minorHAnsi" w:cstheme="minorHAnsi"/>
                <w:sz w:val="20"/>
                <w:szCs w:val="20"/>
                <w:lang w:val="en-US"/>
              </w:rPr>
              <w:t>e</w:t>
            </w:r>
            <w:r>
              <w:rPr>
                <w:rFonts w:asciiTheme="minorHAnsi" w:eastAsia="Times New Roman" w:hAnsiTheme="minorHAnsi" w:cstheme="minorHAnsi"/>
                <w:sz w:val="20"/>
                <w:szCs w:val="20"/>
              </w:rPr>
              <w:t>-</w:t>
            </w:r>
            <w:r>
              <w:rPr>
                <w:rFonts w:asciiTheme="minorHAnsi" w:eastAsia="Times New Roman" w:hAnsiTheme="minorHAnsi" w:cstheme="minorHAnsi"/>
                <w:sz w:val="20"/>
                <w:szCs w:val="20"/>
                <w:lang w:val="en-US"/>
              </w:rPr>
              <w:t>ticket</w:t>
            </w:r>
            <w:r>
              <w:rPr>
                <w:rFonts w:asciiTheme="minorHAnsi" w:eastAsia="Times New Roman" w:hAnsiTheme="minorHAnsi" w:cstheme="minorHAnsi"/>
                <w:sz w:val="20"/>
                <w:szCs w:val="20"/>
              </w:rPr>
              <w:t xml:space="preserve"> οριζόντια.</w:t>
            </w:r>
          </w:p>
          <w:p w14:paraId="4403A836" w14:textId="77777777" w:rsidR="002A2422" w:rsidRDefault="002A2422">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p>
          <w:p w14:paraId="5B58F8A1" w14:textId="77777777" w:rsidR="002A2422" w:rsidRDefault="003B3AD7">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r>
              <w:rPr>
                <w:rFonts w:asciiTheme="minorHAnsi" w:eastAsia="Times New Roman" w:hAnsiTheme="minorHAnsi" w:cstheme="minorHAnsi"/>
                <w:sz w:val="20"/>
                <w:szCs w:val="20"/>
              </w:rPr>
              <w:t>Σύγχρονη αξιοποίηση χώρων πολιτισμού.</w:t>
            </w:r>
          </w:p>
          <w:p w14:paraId="7F473098" w14:textId="77777777" w:rsidR="002A2422" w:rsidRDefault="002A2422">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p>
          <w:p w14:paraId="69203DF0" w14:textId="77777777" w:rsidR="002A2422" w:rsidRDefault="003B3AD7">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r>
              <w:rPr>
                <w:rFonts w:asciiTheme="minorHAnsi" w:eastAsia="Times New Roman" w:hAnsiTheme="minorHAnsi" w:cstheme="minorHAnsi"/>
                <w:sz w:val="20"/>
                <w:szCs w:val="20"/>
              </w:rPr>
              <w:lastRenderedPageBreak/>
              <w:t>Οργανική διασύνδεσή  της πολιτιστικής κληρονομιάς με  την κοινωνία.</w:t>
            </w:r>
          </w:p>
          <w:p w14:paraId="14F510CF" w14:textId="77777777" w:rsidR="002A2422" w:rsidRDefault="002A2422">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p>
          <w:p w14:paraId="189288E7" w14:textId="77777777" w:rsidR="002A2422" w:rsidRDefault="003B3AD7">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r>
              <w:rPr>
                <w:rFonts w:asciiTheme="minorHAnsi" w:eastAsia="Times New Roman" w:hAnsiTheme="minorHAnsi" w:cstheme="minorHAnsi"/>
                <w:sz w:val="20"/>
                <w:szCs w:val="20"/>
              </w:rPr>
              <w:t>Αξιοποίηση των ΤΠΕ για την ανάδειξη του πολιτιστικού αποθέματος.</w:t>
            </w:r>
          </w:p>
        </w:tc>
        <w:tc>
          <w:tcPr>
            <w:tcW w:w="2716" w:type="dxa"/>
            <w:shd w:val="clear" w:color="auto" w:fill="F2F2F2" w:themeFill="background1" w:themeFillShade="F2"/>
            <w:vAlign w:val="center"/>
          </w:tcPr>
          <w:p w14:paraId="489AC622" w14:textId="77777777" w:rsidR="002A2422" w:rsidRDefault="003B3AD7">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r>
              <w:rPr>
                <w:rFonts w:asciiTheme="minorHAnsi" w:eastAsia="Times New Roman" w:hAnsiTheme="minorHAnsi" w:cstheme="minorHAnsi"/>
                <w:sz w:val="20"/>
                <w:szCs w:val="20"/>
              </w:rPr>
              <w:lastRenderedPageBreak/>
              <w:t xml:space="preserve">Προβολή και διάσωση της πολιτιστικής κληρονομιάς. </w:t>
            </w:r>
          </w:p>
          <w:p w14:paraId="74AFD360" w14:textId="77777777" w:rsidR="002A2422" w:rsidRDefault="002A2422">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p>
          <w:p w14:paraId="184CFF97" w14:textId="77777777" w:rsidR="002A2422" w:rsidRDefault="003B3AD7">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r>
              <w:rPr>
                <w:rFonts w:asciiTheme="minorHAnsi" w:eastAsia="Times New Roman" w:hAnsiTheme="minorHAnsi" w:cstheme="minorHAnsi"/>
                <w:sz w:val="20"/>
                <w:szCs w:val="20"/>
              </w:rPr>
              <w:t>Συνέχιση έργων πολιτιστικής κληρονομιάς (συντήρηση, ανάδειξη και αξιοποίηση τους).</w:t>
            </w:r>
          </w:p>
          <w:p w14:paraId="5CF6051E" w14:textId="77777777" w:rsidR="002A2422" w:rsidRDefault="002A2422">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p>
          <w:p w14:paraId="652F31C1" w14:textId="77777777" w:rsidR="002A2422" w:rsidRDefault="003B3AD7">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r>
              <w:rPr>
                <w:rFonts w:asciiTheme="minorHAnsi" w:eastAsia="Times New Roman" w:hAnsiTheme="minorHAnsi" w:cstheme="minorHAnsi"/>
                <w:sz w:val="20"/>
                <w:szCs w:val="20"/>
              </w:rPr>
              <w:t xml:space="preserve">Ανάδειξη χώρων πολιτισμού. </w:t>
            </w:r>
          </w:p>
          <w:p w14:paraId="5E949B7E" w14:textId="77777777" w:rsidR="002A2422" w:rsidRDefault="002A2422">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p>
          <w:p w14:paraId="061E1D93" w14:textId="77777777" w:rsidR="002A2422" w:rsidRDefault="003B3AD7">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r>
              <w:rPr>
                <w:rFonts w:asciiTheme="minorHAnsi" w:eastAsia="Times New Roman" w:hAnsiTheme="minorHAnsi" w:cstheme="minorHAnsi"/>
                <w:sz w:val="20"/>
                <w:szCs w:val="20"/>
              </w:rPr>
              <w:t xml:space="preserve">Ενίσχυση της προσβασιμότητας. </w:t>
            </w:r>
          </w:p>
          <w:p w14:paraId="4C6139FD" w14:textId="77777777" w:rsidR="002A2422" w:rsidRDefault="002A2422">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p>
          <w:p w14:paraId="48FA717B" w14:textId="77777777" w:rsidR="002A2422" w:rsidRDefault="003B3AD7">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r>
              <w:rPr>
                <w:rFonts w:asciiTheme="minorHAnsi" w:eastAsia="Times New Roman" w:hAnsiTheme="minorHAnsi" w:cstheme="minorHAnsi"/>
                <w:sz w:val="20"/>
                <w:szCs w:val="20"/>
              </w:rPr>
              <w:t xml:space="preserve">Ενίσχυση πολιτιστικής διπλωματίας. </w:t>
            </w:r>
          </w:p>
        </w:tc>
        <w:tc>
          <w:tcPr>
            <w:tcW w:w="2734" w:type="dxa"/>
            <w:shd w:val="clear" w:color="auto" w:fill="F2F2F2" w:themeFill="background1" w:themeFillShade="F2"/>
            <w:vAlign w:val="center"/>
          </w:tcPr>
          <w:p w14:paraId="4AE05BF7" w14:textId="77777777" w:rsidR="002A2422" w:rsidRDefault="003B3AD7">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r>
              <w:rPr>
                <w:rFonts w:asciiTheme="minorHAnsi" w:eastAsia="Times New Roman" w:hAnsiTheme="minorHAnsi" w:cstheme="minorHAnsi"/>
                <w:sz w:val="20"/>
                <w:szCs w:val="20"/>
              </w:rPr>
              <w:lastRenderedPageBreak/>
              <w:t xml:space="preserve">Χάραξη συνολικής στρατηγικής για τον αρχαίο πολιτισμό. </w:t>
            </w:r>
          </w:p>
          <w:p w14:paraId="1C34FC3B" w14:textId="77777777" w:rsidR="002A2422" w:rsidRDefault="002A2422">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p>
          <w:p w14:paraId="37BD33AF" w14:textId="77777777" w:rsidR="002A2422" w:rsidRDefault="003B3AD7">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r>
              <w:rPr>
                <w:rFonts w:asciiTheme="minorHAnsi" w:eastAsia="Times New Roman" w:hAnsiTheme="minorHAnsi" w:cstheme="minorHAnsi"/>
                <w:sz w:val="20"/>
                <w:szCs w:val="20"/>
              </w:rPr>
              <w:t xml:space="preserve">Ανάδειξη της πολιτιστικής κληρονομιάς σε όρους </w:t>
            </w:r>
            <w:proofErr w:type="spellStart"/>
            <w:r>
              <w:rPr>
                <w:rFonts w:asciiTheme="minorHAnsi" w:eastAsia="Times New Roman" w:hAnsiTheme="minorHAnsi" w:cstheme="minorHAnsi"/>
                <w:sz w:val="20"/>
                <w:szCs w:val="20"/>
              </w:rPr>
              <w:t>αειφορίας</w:t>
            </w:r>
            <w:proofErr w:type="spellEnd"/>
            <w:r>
              <w:rPr>
                <w:rFonts w:asciiTheme="minorHAnsi" w:eastAsia="Times New Roman" w:hAnsiTheme="minorHAnsi" w:cstheme="minorHAnsi"/>
                <w:sz w:val="20"/>
                <w:szCs w:val="20"/>
              </w:rPr>
              <w:t xml:space="preserve">. </w:t>
            </w:r>
          </w:p>
          <w:p w14:paraId="707488A7" w14:textId="77777777" w:rsidR="002A2422" w:rsidRDefault="002A2422">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p>
          <w:p w14:paraId="41AB64D5" w14:textId="77777777" w:rsidR="002A2422" w:rsidRDefault="002A2422">
            <w:pPr>
              <w:pStyle w:val="ad"/>
              <w:spacing w:before="20" w:after="20" w:line="259" w:lineRule="auto"/>
              <w:ind w:left="0" w:right="543"/>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sz w:val="20"/>
                <w:szCs w:val="20"/>
              </w:rPr>
            </w:pPr>
          </w:p>
        </w:tc>
      </w:tr>
      <w:tr w:rsidR="002A2422" w14:paraId="0E5A74C3" w14:textId="77777777" w:rsidTr="002A2422">
        <w:tc>
          <w:tcPr>
            <w:cnfStyle w:val="001000000000" w:firstRow="0" w:lastRow="0" w:firstColumn="1" w:lastColumn="0" w:oddVBand="0" w:evenVBand="0" w:oddHBand="0" w:evenHBand="0" w:firstRowFirstColumn="0" w:firstRowLastColumn="0" w:lastRowFirstColumn="0" w:lastRowLastColumn="0"/>
            <w:tcW w:w="2766" w:type="dxa"/>
            <w:tcBorders>
              <w:right w:val="nil"/>
            </w:tcBorders>
            <w:vAlign w:val="center"/>
          </w:tcPr>
          <w:p w14:paraId="50D1AF7C" w14:textId="77777777" w:rsidR="002A2422" w:rsidRDefault="003B3AD7">
            <w:pPr>
              <w:spacing w:before="20" w:after="20" w:line="259" w:lineRule="auto"/>
              <w:jc w:val="left"/>
              <w:rPr>
                <w:rFonts w:asciiTheme="minorHAnsi" w:hAnsiTheme="minorHAnsi" w:cstheme="minorHAnsi"/>
                <w:b/>
                <w:bCs/>
                <w:i w:val="0"/>
                <w:iCs w:val="0"/>
                <w:sz w:val="20"/>
                <w:szCs w:val="20"/>
              </w:rPr>
            </w:pPr>
            <w:proofErr w:type="spellStart"/>
            <w:r>
              <w:rPr>
                <w:rFonts w:asciiTheme="minorHAnsi" w:hAnsiTheme="minorHAnsi" w:cstheme="minorHAnsi"/>
                <w:b/>
                <w:bCs/>
                <w:i w:val="0"/>
                <w:iCs w:val="0"/>
                <w:sz w:val="20"/>
                <w:szCs w:val="20"/>
              </w:rPr>
              <w:t>Υποπρόγραμμα</w:t>
            </w:r>
            <w:proofErr w:type="spellEnd"/>
            <w:r>
              <w:rPr>
                <w:rFonts w:asciiTheme="minorHAnsi" w:hAnsiTheme="minorHAnsi" w:cstheme="minorHAnsi"/>
                <w:b/>
                <w:bCs/>
                <w:i w:val="0"/>
                <w:iCs w:val="0"/>
                <w:sz w:val="20"/>
                <w:szCs w:val="20"/>
              </w:rPr>
              <w:t xml:space="preserve"> Β  |Σύγχρονος Πολιτισμός </w:t>
            </w:r>
          </w:p>
          <w:p w14:paraId="17460CAE" w14:textId="77777777" w:rsidR="002A2422" w:rsidRDefault="002A2422">
            <w:pPr>
              <w:pStyle w:val="ad"/>
              <w:spacing w:before="20" w:after="20" w:line="259" w:lineRule="auto"/>
              <w:ind w:left="0" w:right="543"/>
              <w:jc w:val="left"/>
              <w:rPr>
                <w:rFonts w:asciiTheme="minorHAnsi" w:hAnsiTheme="minorHAnsi" w:cstheme="minorHAnsi"/>
                <w:b/>
                <w:bCs/>
                <w:sz w:val="20"/>
                <w:szCs w:val="20"/>
              </w:rPr>
            </w:pPr>
          </w:p>
        </w:tc>
        <w:tc>
          <w:tcPr>
            <w:tcW w:w="2622" w:type="dxa"/>
            <w:shd w:val="clear" w:color="auto" w:fill="F2F2F2" w:themeFill="background1" w:themeFillShade="F2"/>
            <w:vAlign w:val="center"/>
          </w:tcPr>
          <w:p w14:paraId="75612083"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i/>
                <w:iCs/>
                <w:sz w:val="20"/>
                <w:szCs w:val="20"/>
              </w:rPr>
              <w:t xml:space="preserve">Ενίσχυση σύγχρονων δρώμενων πολιτισμού. </w:t>
            </w:r>
          </w:p>
          <w:p w14:paraId="2A292F5D" w14:textId="77777777" w:rsidR="002A2422" w:rsidRDefault="002A2422">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p w14:paraId="090ABA50"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i/>
                <w:iCs/>
                <w:sz w:val="20"/>
                <w:szCs w:val="20"/>
              </w:rPr>
              <w:t xml:space="preserve">Αξιοποίηση των ΤΠΕ για την ανάδειξη του πολιτιστικού αποθέματος. </w:t>
            </w:r>
          </w:p>
          <w:p w14:paraId="7B9A3306" w14:textId="77777777" w:rsidR="002A2422" w:rsidRDefault="002A2422">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p w14:paraId="65A47493" w14:textId="77777777" w:rsidR="002A2422" w:rsidRDefault="002A2422">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tc>
        <w:tc>
          <w:tcPr>
            <w:tcW w:w="2716" w:type="dxa"/>
            <w:shd w:val="clear" w:color="auto" w:fill="F2F2F2" w:themeFill="background1" w:themeFillShade="F2"/>
            <w:vAlign w:val="center"/>
          </w:tcPr>
          <w:p w14:paraId="71190DEE"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i/>
                <w:iCs/>
                <w:sz w:val="20"/>
                <w:szCs w:val="20"/>
              </w:rPr>
              <w:t>Υποστήριξη και ανάπτυξη της σύγχρονης καλλιτεχνικής δημιουργίας.</w:t>
            </w:r>
          </w:p>
          <w:p w14:paraId="69385E31" w14:textId="77777777" w:rsidR="002A2422" w:rsidRDefault="002A2422">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p w14:paraId="32826C05"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i/>
                <w:iCs/>
                <w:sz w:val="20"/>
                <w:szCs w:val="20"/>
              </w:rPr>
              <w:t xml:space="preserve">Ενίσχυση και αναβάθμιση του σύγχρονου πολιτισμού και της εθνικής και περιφερειακής πολιτικής συνοχής. </w:t>
            </w:r>
          </w:p>
          <w:p w14:paraId="5076DD13" w14:textId="77777777" w:rsidR="002A2422" w:rsidRDefault="002A2422">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p w14:paraId="7B0BF2E6"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i/>
                <w:iCs/>
                <w:sz w:val="20"/>
                <w:szCs w:val="20"/>
              </w:rPr>
              <w:t>Αξιοποίηση σύγχρονου πολιτισμικού κεφαλαίου.</w:t>
            </w:r>
          </w:p>
        </w:tc>
        <w:tc>
          <w:tcPr>
            <w:tcW w:w="2734" w:type="dxa"/>
            <w:shd w:val="clear" w:color="auto" w:fill="F2F2F2" w:themeFill="background1" w:themeFillShade="F2"/>
            <w:vAlign w:val="center"/>
          </w:tcPr>
          <w:p w14:paraId="147248F5"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i/>
                <w:iCs/>
                <w:sz w:val="20"/>
                <w:szCs w:val="20"/>
              </w:rPr>
              <w:t xml:space="preserve">Ανάπτυξη σύγχρονου καλλιτεχνικού πολιτισμικού περιβάλλοντος. </w:t>
            </w:r>
          </w:p>
          <w:p w14:paraId="7F65ABF4" w14:textId="77777777" w:rsidR="002A2422" w:rsidRDefault="002A2422">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p w14:paraId="7A829E62"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i/>
                <w:iCs/>
                <w:sz w:val="20"/>
                <w:szCs w:val="20"/>
              </w:rPr>
              <w:t xml:space="preserve">Χάραξη συνολικής στρατηγικής για τον σύγχρονο  πολιτισμό. </w:t>
            </w:r>
          </w:p>
          <w:p w14:paraId="0003016D" w14:textId="77777777" w:rsidR="002A2422" w:rsidRDefault="002A2422">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tc>
      </w:tr>
      <w:tr w:rsidR="002A2422" w14:paraId="5B5526BD" w14:textId="77777777" w:rsidTr="002A2422">
        <w:tc>
          <w:tcPr>
            <w:cnfStyle w:val="001000000000" w:firstRow="0" w:lastRow="0" w:firstColumn="1" w:lastColumn="0" w:oddVBand="0" w:evenVBand="0" w:oddHBand="0" w:evenHBand="0" w:firstRowFirstColumn="0" w:firstRowLastColumn="0" w:lastRowFirstColumn="0" w:lastRowLastColumn="0"/>
            <w:tcW w:w="2766" w:type="dxa"/>
            <w:tcBorders>
              <w:right w:val="nil"/>
            </w:tcBorders>
            <w:vAlign w:val="center"/>
          </w:tcPr>
          <w:p w14:paraId="3F3E1F3A" w14:textId="77777777" w:rsidR="002A2422" w:rsidRDefault="003B3AD7">
            <w:pPr>
              <w:pStyle w:val="ad"/>
              <w:spacing w:before="20" w:after="20" w:line="259" w:lineRule="auto"/>
              <w:ind w:left="0" w:right="543"/>
              <w:jc w:val="left"/>
              <w:rPr>
                <w:rFonts w:asciiTheme="minorHAnsi" w:hAnsiTheme="minorHAnsi" w:cstheme="minorHAnsi"/>
                <w:b/>
                <w:bCs/>
                <w:sz w:val="20"/>
                <w:szCs w:val="20"/>
              </w:rPr>
            </w:pPr>
            <w:proofErr w:type="spellStart"/>
            <w:r>
              <w:rPr>
                <w:rFonts w:asciiTheme="minorHAnsi" w:hAnsiTheme="minorHAnsi" w:cstheme="minorHAnsi"/>
                <w:b/>
                <w:bCs/>
                <w:i w:val="0"/>
                <w:iCs w:val="0"/>
                <w:sz w:val="20"/>
                <w:szCs w:val="20"/>
              </w:rPr>
              <w:t>Υποπρόγραμμα</w:t>
            </w:r>
            <w:proofErr w:type="spellEnd"/>
            <w:r>
              <w:rPr>
                <w:rFonts w:asciiTheme="minorHAnsi" w:hAnsiTheme="minorHAnsi" w:cstheme="minorHAnsi"/>
                <w:b/>
                <w:bCs/>
                <w:i w:val="0"/>
                <w:iCs w:val="0"/>
                <w:sz w:val="20"/>
                <w:szCs w:val="20"/>
              </w:rPr>
              <w:t xml:space="preserve"> Γ |Αθλητισμός</w:t>
            </w:r>
          </w:p>
        </w:tc>
        <w:tc>
          <w:tcPr>
            <w:tcW w:w="2622" w:type="dxa"/>
            <w:shd w:val="clear" w:color="auto" w:fill="F2F2F2" w:themeFill="background1" w:themeFillShade="F2"/>
            <w:vAlign w:val="center"/>
          </w:tcPr>
          <w:p w14:paraId="4D40D930"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Ενίσχυση αξιών αθλητισμού και Ολυμπιακού Ιδεώδους στην κοινωνία</w:t>
            </w:r>
          </w:p>
          <w:p w14:paraId="4BD8D1D1" w14:textId="77777777" w:rsidR="002A2422" w:rsidRDefault="002A2422">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p w14:paraId="57F60E6C"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Προώθηση της αθλητικής δραστηριότητας στην κοινωνία</w:t>
            </w:r>
          </w:p>
          <w:p w14:paraId="15943ABA" w14:textId="77777777" w:rsidR="002A2422" w:rsidRDefault="002A2422">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p w14:paraId="729D9DDA"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Δημιουργία ενός πλαισίου υγιούς ανταγωνισμού στον αθλητισμό, μακριά από φαινόμενα χειραγώγησης και </w:t>
            </w:r>
            <w:proofErr w:type="spellStart"/>
            <w:r>
              <w:rPr>
                <w:rFonts w:asciiTheme="minorHAnsi" w:eastAsia="Times New Roman" w:hAnsiTheme="minorHAnsi" w:cstheme="minorHAnsi"/>
                <w:sz w:val="20"/>
                <w:szCs w:val="20"/>
              </w:rPr>
              <w:t>φαρμακοδιέγερσης</w:t>
            </w:r>
            <w:proofErr w:type="spellEnd"/>
          </w:p>
          <w:p w14:paraId="23BD9B73" w14:textId="77777777" w:rsidR="002A2422" w:rsidRDefault="002A2422">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p w14:paraId="3C0149F1"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Ενίσχυση της εξωστρέφειας του ελληνικού </w:t>
            </w:r>
            <w:r>
              <w:rPr>
                <w:rFonts w:asciiTheme="minorHAnsi" w:eastAsia="Times New Roman" w:hAnsiTheme="minorHAnsi" w:cstheme="minorHAnsi"/>
                <w:sz w:val="20"/>
                <w:szCs w:val="20"/>
              </w:rPr>
              <w:lastRenderedPageBreak/>
              <w:t>αθλητισμού, με την προσέλκυση διεθνών αθλητικών διοργανώσεων</w:t>
            </w:r>
          </w:p>
        </w:tc>
        <w:tc>
          <w:tcPr>
            <w:tcW w:w="2716" w:type="dxa"/>
            <w:shd w:val="clear" w:color="auto" w:fill="F2F2F2" w:themeFill="background1" w:themeFillShade="F2"/>
            <w:vAlign w:val="center"/>
          </w:tcPr>
          <w:p w14:paraId="187E811D"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lastRenderedPageBreak/>
              <w:t>Δημιουργία περισσότερων αθλητικών εγκαταστάσεων στη χώρα, ανάλογα με τις ανάγκες της εκάστοτε τοποθεσίας.</w:t>
            </w:r>
          </w:p>
          <w:p w14:paraId="482BF1DA" w14:textId="77777777" w:rsidR="002A2422" w:rsidRDefault="002A2422">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p w14:paraId="58EA1A80"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Ενεργειακή αναβάθμιση και έργα παρέμβασης στις αθλητικές εγκαταστάσεις με έμφαση στην πράσινη οικονομία και την εξοικονόμηση ενέργειας.</w:t>
            </w:r>
          </w:p>
          <w:p w14:paraId="28078654" w14:textId="77777777" w:rsidR="002A2422" w:rsidRDefault="002A2422">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p w14:paraId="43B91896"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Ενίσχυση της προσβασιμότητας των Ατόμων με Ειδικές </w:t>
            </w:r>
            <w:r>
              <w:rPr>
                <w:rFonts w:asciiTheme="minorHAnsi" w:eastAsia="Times New Roman" w:hAnsiTheme="minorHAnsi" w:cstheme="minorHAnsi"/>
                <w:sz w:val="20"/>
                <w:szCs w:val="20"/>
              </w:rPr>
              <w:lastRenderedPageBreak/>
              <w:t>Ανάγκες στις αθλητικές εγκαταστάσεις.</w:t>
            </w:r>
          </w:p>
          <w:p w14:paraId="2EF104B1" w14:textId="77777777" w:rsidR="002A2422" w:rsidRDefault="002A2422">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p w14:paraId="6F4DB7BD"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Δημιουργία περισσότερων αθλητικών χώρων διεθνών προδιαγραφών</w:t>
            </w:r>
          </w:p>
          <w:p w14:paraId="138ECBC4" w14:textId="77777777" w:rsidR="002A2422" w:rsidRDefault="002A2422">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20"/>
                <w:szCs w:val="20"/>
              </w:rPr>
            </w:pPr>
          </w:p>
        </w:tc>
        <w:tc>
          <w:tcPr>
            <w:tcW w:w="2734" w:type="dxa"/>
            <w:shd w:val="clear" w:color="auto" w:fill="F2F2F2" w:themeFill="background1" w:themeFillShade="F2"/>
            <w:vAlign w:val="center"/>
          </w:tcPr>
          <w:p w14:paraId="682BECA7"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lastRenderedPageBreak/>
              <w:t>Ψηφιακός μετασχηματισμός στις υπηρεσίες της Γ.Γ.Α και των αθλητικών εγκαταστάσεων</w:t>
            </w:r>
          </w:p>
          <w:p w14:paraId="7822A353" w14:textId="77777777" w:rsidR="002A2422" w:rsidRDefault="002A2422">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p w14:paraId="63E08D21"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Δημιουργία Ψηφιακών Μητρώων</w:t>
            </w:r>
          </w:p>
          <w:p w14:paraId="38930D12" w14:textId="77777777" w:rsidR="002A2422" w:rsidRDefault="002A2422">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p w14:paraId="7C693C75"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eastAsia="Times New Roman" w:hAnsiTheme="minorHAnsi" w:cstheme="minorHAnsi"/>
                <w:sz w:val="20"/>
                <w:szCs w:val="20"/>
              </w:rPr>
              <w:t>Ενίσχυση προγραμμάτων Άθλησης για Όλους</w:t>
            </w:r>
          </w:p>
          <w:p w14:paraId="6C415B4C" w14:textId="77777777" w:rsidR="002A2422" w:rsidRDefault="002A2422">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p w14:paraId="22586A1F" w14:textId="77777777" w:rsidR="002A2422" w:rsidRDefault="003B3AD7">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rPr>
              <w:t xml:space="preserve">Συμμετοχή στο πρόγραμμα </w:t>
            </w:r>
            <w:proofErr w:type="spellStart"/>
            <w:r>
              <w:rPr>
                <w:rFonts w:asciiTheme="minorHAnsi" w:eastAsia="Times New Roman" w:hAnsiTheme="minorHAnsi" w:cstheme="minorHAnsi"/>
                <w:sz w:val="20"/>
                <w:szCs w:val="20"/>
                <w:lang w:val="en-US"/>
              </w:rPr>
              <w:t>BeActive</w:t>
            </w:r>
            <w:proofErr w:type="spellEnd"/>
          </w:p>
          <w:p w14:paraId="34EBF650" w14:textId="77777777" w:rsidR="002A2422" w:rsidRDefault="002A2422">
            <w:pPr>
              <w:pStyle w:val="ad"/>
              <w:spacing w:before="20" w:after="20" w:line="259" w:lineRule="auto"/>
              <w:ind w:left="0" w:right="54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tc>
      </w:tr>
    </w:tbl>
    <w:p w14:paraId="6CBC0C08" w14:textId="77777777" w:rsidR="002A2422" w:rsidRDefault="003B3AD7">
      <w:pPr>
        <w:spacing w:before="60" w:after="60"/>
        <w:rPr>
          <w:rFonts w:asciiTheme="minorHAnsi" w:hAnsiTheme="minorHAnsi" w:cstheme="minorHAnsi"/>
          <w:i/>
          <w:iCs/>
        </w:rPr>
      </w:pPr>
      <w:r>
        <w:rPr>
          <w:rFonts w:asciiTheme="minorHAnsi" w:hAnsiTheme="minorHAnsi" w:cstheme="minorHAnsi"/>
          <w:i/>
          <w:iCs/>
        </w:rPr>
        <w:t xml:space="preserve">Πίνακας: Βασικές προτεραιότητες ΕΠΑ ανά τομέα </w:t>
      </w:r>
    </w:p>
    <w:p w14:paraId="052673EA" w14:textId="77777777" w:rsidR="002A2422" w:rsidRDefault="002A2422">
      <w:pPr>
        <w:spacing w:before="60" w:after="60"/>
        <w:rPr>
          <w:rFonts w:asciiTheme="minorHAnsi" w:hAnsiTheme="minorHAnsi" w:cstheme="minorHAnsi"/>
          <w:i/>
          <w:iCs/>
        </w:rPr>
      </w:pPr>
    </w:p>
    <w:p w14:paraId="2F3985CA" w14:textId="77777777" w:rsidR="002A2422" w:rsidRDefault="003B3AD7">
      <w:pPr>
        <w:spacing w:before="60" w:after="60"/>
        <w:ind w:right="543"/>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Βάσει των </w:t>
      </w:r>
      <w:r>
        <w:rPr>
          <w:rFonts w:asciiTheme="minorHAnsi" w:eastAsia="Times New Roman" w:hAnsiTheme="minorHAnsi" w:cstheme="minorHAnsi"/>
          <w:b/>
          <w:bCs/>
          <w:sz w:val="24"/>
          <w:szCs w:val="24"/>
        </w:rPr>
        <w:t>πέντε αναπτυξιακών πυλώνων του Εθνικού Προγράμματος Ανάπτυξης,</w:t>
      </w:r>
      <w:r>
        <w:rPr>
          <w:rFonts w:asciiTheme="minorHAnsi" w:eastAsia="Times New Roman" w:hAnsiTheme="minorHAnsi" w:cstheme="minorHAnsi"/>
          <w:sz w:val="24"/>
          <w:szCs w:val="24"/>
        </w:rPr>
        <w:t xml:space="preserve"> ο Τομέας Πολιτιστικής Κληρονομιάς θα συνδράμει στην έξυπνη ανάπτυξη, μέσω της χρήσης ΤΠΕ και σύγχρονων εργαλείων ανάδειξης του Πολιτισμού, ενώ επιπλέον θα συμβάλει και στην πράσινη ανάπτυξη μέσω της αξιοποίησης πράσινων υποδομών, στον χώρο του Πολιτισμού. </w:t>
      </w:r>
    </w:p>
    <w:p w14:paraId="4CCE6F8C" w14:textId="77777777" w:rsidR="002A2422" w:rsidRDefault="003B3AD7">
      <w:pPr>
        <w:spacing w:before="60" w:after="60"/>
        <w:ind w:right="543"/>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Στον τομέα των υποδομών, απαιτείται μεγαλύτερη αναπτυξιακή παρέμβαση  προκειμένου να βελτιωθεί περαιτέρω η προσβασιμότητα στους χώρους πολιτισμού και αθλητισμού, καθώς και άλλες  ενέργειες   για την ανάδειξη πολιτιστικών μνημείων που μέχρι σήμερα δεν είχαν αξιοποιηθεί.  </w:t>
      </w:r>
    </w:p>
    <w:p w14:paraId="269A2D8B" w14:textId="77777777" w:rsidR="002A2422" w:rsidRDefault="003B3AD7">
      <w:pPr>
        <w:spacing w:before="60" w:after="60"/>
        <w:ind w:right="543"/>
        <w:rPr>
          <w:rFonts w:asciiTheme="minorHAnsi" w:eastAsia="Times New Roman" w:hAnsiTheme="minorHAnsi" w:cstheme="minorHAnsi"/>
          <w:sz w:val="24"/>
          <w:szCs w:val="24"/>
        </w:rPr>
      </w:pPr>
      <w:r>
        <w:rPr>
          <w:rFonts w:asciiTheme="minorHAnsi" w:eastAsia="Times New Roman" w:hAnsiTheme="minorHAnsi" w:cstheme="minorHAnsi"/>
          <w:sz w:val="24"/>
          <w:szCs w:val="24"/>
        </w:rPr>
        <w:t>Στο πεδίο της κοινωνικής ανάπτυξης μέσα από την προστασία, ανάπτυξη και προβολή της πολιτιστικής κληρονομιάς και της αθλητικής δραστηριότητας, ο πολιτισμός και ο αθλητισμός μπορούν να αποτελέσουν καθοριστικούς συντελεστές παραγωγής κοινωνικού κεφαλαίου.</w:t>
      </w:r>
    </w:p>
    <w:p w14:paraId="03D2059E" w14:textId="77777777" w:rsidR="002A2422" w:rsidRDefault="003B3AD7">
      <w:pPr>
        <w:spacing w:before="60" w:after="60"/>
        <w:ind w:right="543"/>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Τέλος, μέσω της διεθνούς προβολής και  αναγνώρισης του ελληνικού πολιτισμού, μπορεί να  αποτελέσει έναν από τους πιο ισχυρούς πυλώνες προσέλκυσης επισκεπτών, μέσω ενεργειών προώθησης με έμφαση σε ανερχόμενες και μη παραδοσιακές αγορές, και να καταστήσει την Ελλάδα πιο εξωστρεφή στις διεθνείς αγορές, </w:t>
      </w:r>
      <w:proofErr w:type="spellStart"/>
      <w:r>
        <w:rPr>
          <w:rFonts w:asciiTheme="minorHAnsi" w:eastAsia="Times New Roman" w:hAnsiTheme="minorHAnsi" w:cstheme="minorHAnsi"/>
          <w:sz w:val="24"/>
          <w:szCs w:val="24"/>
        </w:rPr>
        <w:t>πολλώ</w:t>
      </w:r>
      <w:proofErr w:type="spellEnd"/>
      <w:r>
        <w:rPr>
          <w:rFonts w:asciiTheme="minorHAnsi" w:eastAsia="Times New Roman" w:hAnsiTheme="minorHAnsi" w:cstheme="minorHAnsi"/>
          <w:sz w:val="24"/>
          <w:szCs w:val="24"/>
        </w:rPr>
        <w:t xml:space="preserve"> δε μάλλον, με την ανάπτυξη του εθνικού </w:t>
      </w:r>
      <w:r>
        <w:rPr>
          <w:rFonts w:asciiTheme="minorHAnsi" w:eastAsia="Times New Roman" w:hAnsiTheme="minorHAnsi" w:cstheme="minorHAnsi"/>
          <w:sz w:val="24"/>
          <w:szCs w:val="24"/>
          <w:lang w:val="en-US"/>
        </w:rPr>
        <w:t>brand</w:t>
      </w:r>
      <w:r>
        <w:rPr>
          <w:rFonts w:asciiTheme="minorHAnsi" w:eastAsia="Times New Roman" w:hAnsiTheme="minorHAnsi" w:cstheme="minorHAnsi"/>
          <w:sz w:val="24"/>
          <w:szCs w:val="24"/>
        </w:rPr>
        <w:t xml:space="preserve"> προβολής της Ελλάδας στο εξωτερικό (</w:t>
      </w:r>
      <w:r>
        <w:rPr>
          <w:rFonts w:asciiTheme="minorHAnsi" w:eastAsia="Times New Roman" w:hAnsiTheme="minorHAnsi" w:cstheme="minorHAnsi"/>
          <w:sz w:val="24"/>
          <w:szCs w:val="24"/>
          <w:lang w:val="en-US"/>
        </w:rPr>
        <w:t>nation</w:t>
      </w:r>
      <w:r>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lang w:val="en-US"/>
        </w:rPr>
        <w:t>branding</w:t>
      </w:r>
      <w:r>
        <w:rPr>
          <w:rFonts w:asciiTheme="minorHAnsi" w:eastAsia="Times New Roman" w:hAnsiTheme="minorHAnsi" w:cstheme="minorHAnsi"/>
          <w:sz w:val="24"/>
          <w:szCs w:val="24"/>
        </w:rPr>
        <w:t>).</w:t>
      </w:r>
    </w:p>
    <w:p w14:paraId="2B2E22E4" w14:textId="77777777" w:rsidR="002A2422" w:rsidRDefault="003B3AD7">
      <w:pPr>
        <w:spacing w:before="60" w:after="60"/>
        <w:ind w:right="543"/>
        <w:rPr>
          <w:rFonts w:asciiTheme="minorHAnsi" w:eastAsia="Times New Roman" w:hAnsiTheme="minorHAnsi" w:cstheme="minorHAnsi"/>
          <w:sz w:val="24"/>
          <w:szCs w:val="24"/>
        </w:rPr>
      </w:pPr>
      <w:r>
        <w:rPr>
          <w:rFonts w:asciiTheme="minorHAnsi" w:eastAsia="Times New Roman" w:hAnsiTheme="minorHAnsi" w:cstheme="minorHAnsi"/>
          <w:sz w:val="24"/>
          <w:szCs w:val="24"/>
        </w:rPr>
        <w:lastRenderedPageBreak/>
        <w:t xml:space="preserve"> Αντίστοιχα, ο ελληνικός αθλητισμός, μέσω της διεξαγωγής διεθνών αθλητικών διοργανώσεων, μπορεί να καταστεί πυλώνας ανάπτυξης του αθλητικού τουρισμού της χώρας. Αναπτυγμένες αθλητικές υποδομές, μπορούν να φιλοξενήσουν κορυφαίες διοργανώσεις εθνικής και διεθνούς εμβέλειας μεσαίας και μεγάλης κλίμακας και αντίστοιχα να προσελκύσουν τουρίστες, λάτρεις των αθλημάτων από το εξωτερικό.</w:t>
      </w:r>
    </w:p>
    <w:p w14:paraId="23FD49EA" w14:textId="77777777" w:rsidR="002A2422" w:rsidRDefault="002A2422">
      <w:pPr>
        <w:spacing w:before="60" w:after="60"/>
        <w:ind w:right="543"/>
        <w:rPr>
          <w:rFonts w:asciiTheme="minorHAnsi" w:eastAsia="Times New Roman" w:hAnsiTheme="minorHAnsi" w:cstheme="minorHAnsi"/>
          <w:sz w:val="24"/>
          <w:szCs w:val="24"/>
        </w:rPr>
      </w:pPr>
    </w:p>
    <w:p w14:paraId="47095B9E" w14:textId="77777777" w:rsidR="002A2422" w:rsidRDefault="002A2422">
      <w:pPr>
        <w:spacing w:before="60" w:after="60"/>
        <w:ind w:right="543"/>
        <w:rPr>
          <w:rFonts w:asciiTheme="minorHAnsi" w:eastAsia="Times New Roman" w:hAnsiTheme="minorHAnsi" w:cstheme="minorHAnsi"/>
          <w:sz w:val="24"/>
          <w:szCs w:val="24"/>
        </w:rPr>
      </w:pPr>
    </w:p>
    <w:p w14:paraId="4D0C8C6C" w14:textId="77777777" w:rsidR="002A2422" w:rsidRDefault="003B3AD7">
      <w:pPr>
        <w:pStyle w:val="2"/>
        <w:rPr>
          <w:sz w:val="24"/>
          <w:szCs w:val="24"/>
        </w:rPr>
      </w:pPr>
      <w:bookmarkStart w:id="13" w:name="_Toc68011181"/>
      <w:bookmarkStart w:id="14" w:name="_Toc73665468"/>
      <w:r>
        <w:t>ΕΘΝΙΚΑ ΣΤΡΑΤΗΓΙΚΑ ΚΕΙΜΕΝΑ - ΚΑΝΟΝΙΣΤΙΚΕΣ ΚΑΙ ΛΟΙΠΕΣ ΥΠΟΧΡΕΩΣΕΙΣ</w:t>
      </w:r>
      <w:bookmarkEnd w:id="13"/>
      <w:bookmarkEnd w:id="14"/>
      <w:r>
        <w:rPr>
          <w:sz w:val="24"/>
          <w:szCs w:val="24"/>
        </w:rPr>
        <w:t xml:space="preserve"> </w:t>
      </w:r>
    </w:p>
    <w:p w14:paraId="7573E4C5" w14:textId="77777777" w:rsidR="002A2422" w:rsidRDefault="003B3AD7">
      <w:pPr>
        <w:pStyle w:val="3"/>
        <w:rPr>
          <w:lang w:eastAsia="en-US"/>
        </w:rPr>
      </w:pPr>
      <w:bookmarkStart w:id="15" w:name="_Toc68011182"/>
      <w:bookmarkStart w:id="16" w:name="_Toc73665469"/>
      <w:r>
        <w:rPr>
          <w:lang w:eastAsia="en-US"/>
        </w:rPr>
        <w:t>Ευρωπαϊκή Πολιτική στον τομέα του Πολιτισμού</w:t>
      </w:r>
      <w:bookmarkEnd w:id="15"/>
      <w:r>
        <w:rPr>
          <w:lang w:eastAsia="en-US"/>
        </w:rPr>
        <w:t xml:space="preserve"> και του αθλητισμού</w:t>
      </w:r>
      <w:bookmarkEnd w:id="16"/>
    </w:p>
    <w:p w14:paraId="7A1C5C17"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Ο πολιτισμός είναι στο κέντρο της πλούσιας Ευρωπαϊκής κληρονομιάς και ιστορίας και κατέχει σημαντικό ρόλο στην προώθηση της ελκυστικότητας των τόπων και στην ενίσχυση της μοναδικότητας μιας συγκεκριμένης τοποθεσίας. Ο πολιτισμός και η δημιουργικότητα μπορούν να γίνουν σημαντικές κινητήριες δυνάμεις και παράγοντες της καινοτομίας, καθώς και σημαντικός πόρος για την επιχειρηματικότητα. Ο πολιτισμός είναι βασική κινητήρια δύναμη για την αύξηση των τουριστικών εσόδων, με τον πολιτιστικό τουρισμό να εξελίσσεται σε έναν από τους ταχύτερα αναπτυσσόμενους τουριστικούς τομείς παγκοσμίως. Ο πολιτισμός κατέχει επίσης σημαντικό ρόλο στην προώθηση της κοινωνικής ένταξης.</w:t>
      </w:r>
    </w:p>
    <w:p w14:paraId="2D05C861"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Ο πολιτισμός και η δημιουργικότητα δεν περιορίζονται στην καλλιτεχνική αξία. Μέσω της χρήσης των διαρθρωτικών και επενδυτικών ταμείων της ΕΕ, το δυναμικό ανάπτυξής τους μπορεί να αξιοποιηθεί για τη δημιουργία θέσεων εργασίας και οικονομικής ανάπτυξης. </w:t>
      </w:r>
    </w:p>
    <w:p w14:paraId="51E50BFA"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Ο αθλητισμός είναι ένα πεδίο στο οποίο οι αρμοδιότητες της ΕΕ είναι σχετικά πρόσφατες, αφού τις απέκτησε μόνο μετά την έναρξη ισχύος της Συνθήκης της Λισαβόνας, τον Δεκέμβριο του 2009. Η ΕΕ είναι αρμόδια για τη χάραξη τεκμηριωμένης πολιτικής, καθώς και για την προώθηση της συνεργασίας και τη διαχείριση πρωτοβουλιών που αποσκοπούν στην προαγωγή της σωματικής άσκησης και του αθλητισμού σε ολόκληρη την Ευρώπη. Για πρώτη φορά την περίοδο 2014-2020 θεσπίστηκε ειδικό κονδύλι του προϋπολογισμού στο πλαίσιο του προγράμματος </w:t>
      </w:r>
      <w:proofErr w:type="spellStart"/>
      <w:r>
        <w:rPr>
          <w:rFonts w:asciiTheme="minorHAnsi" w:eastAsia="Calibri" w:hAnsiTheme="minorHAnsi" w:cstheme="minorHAnsi"/>
          <w:sz w:val="24"/>
          <w:szCs w:val="24"/>
          <w:lang w:eastAsia="en-US"/>
        </w:rPr>
        <w:t>Erasmus</w:t>
      </w:r>
      <w:proofErr w:type="spellEnd"/>
      <w:r>
        <w:rPr>
          <w:rFonts w:asciiTheme="minorHAnsi" w:eastAsia="Calibri" w:hAnsiTheme="minorHAnsi" w:cstheme="minorHAnsi"/>
          <w:sz w:val="24"/>
          <w:szCs w:val="24"/>
          <w:lang w:eastAsia="en-US"/>
        </w:rPr>
        <w:t>+ για να στηρίξει προγράμματα και δίκτυα στον τομέα του αθλητισμού.</w:t>
      </w:r>
    </w:p>
    <w:p w14:paraId="5B094E62"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lastRenderedPageBreak/>
        <w:t xml:space="preserve">Μολονότι στις Συνθήκες δεν γίνεται λόγος για συγκεκριμένη νομική αρμοδιότητα για τον αθλητισμό πριν από το 2009, η Επιτροπή έθεσε τα θεμέλια της σχετικής πολιτικής της ΕΕ με τη Λευκή Βίβλο του 2007 για τον αθλητισμό και με το «Σχέδιο δράσης </w:t>
      </w:r>
      <w:proofErr w:type="spellStart"/>
      <w:r>
        <w:rPr>
          <w:rFonts w:asciiTheme="minorHAnsi" w:eastAsia="Calibri" w:hAnsiTheme="minorHAnsi" w:cstheme="minorHAnsi"/>
          <w:sz w:val="24"/>
          <w:szCs w:val="24"/>
          <w:lang w:eastAsia="en-US"/>
        </w:rPr>
        <w:t>Pierre</w:t>
      </w:r>
      <w:proofErr w:type="spellEnd"/>
      <w:r>
        <w:rPr>
          <w:rFonts w:asciiTheme="minorHAnsi" w:eastAsia="Calibri" w:hAnsiTheme="minorHAnsi" w:cstheme="minorHAnsi"/>
          <w:sz w:val="24"/>
          <w:szCs w:val="24"/>
          <w:lang w:eastAsia="en-US"/>
        </w:rPr>
        <w:t xml:space="preserve"> de </w:t>
      </w:r>
      <w:proofErr w:type="spellStart"/>
      <w:r>
        <w:rPr>
          <w:rFonts w:asciiTheme="minorHAnsi" w:eastAsia="Calibri" w:hAnsiTheme="minorHAnsi" w:cstheme="minorHAnsi"/>
          <w:sz w:val="24"/>
          <w:szCs w:val="24"/>
          <w:lang w:eastAsia="en-US"/>
        </w:rPr>
        <w:t>Coubertin</w:t>
      </w:r>
      <w:proofErr w:type="spellEnd"/>
      <w:r>
        <w:rPr>
          <w:rFonts w:asciiTheme="minorHAnsi" w:eastAsia="Calibri" w:hAnsiTheme="minorHAnsi" w:cstheme="minorHAnsi"/>
          <w:sz w:val="24"/>
          <w:szCs w:val="24"/>
          <w:lang w:eastAsia="en-US"/>
        </w:rPr>
        <w:t>».</w:t>
      </w:r>
    </w:p>
    <w:p w14:paraId="0F10FA45" w14:textId="77777777" w:rsidR="002A2422" w:rsidRDefault="002A2422">
      <w:pPr>
        <w:spacing w:before="60" w:after="60"/>
        <w:rPr>
          <w:rFonts w:asciiTheme="minorHAnsi" w:eastAsia="Calibri" w:hAnsiTheme="minorHAnsi" w:cstheme="minorHAnsi"/>
          <w:sz w:val="24"/>
          <w:szCs w:val="24"/>
          <w:lang w:eastAsia="en-US"/>
        </w:rPr>
      </w:pPr>
    </w:p>
    <w:p w14:paraId="195DD56D"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Συγκεκριμένη αρμοδιότητα στο πεδίο του αθλητισμού απέκτησε η ΕΕ με τη Συνθήκη της Λισαβόνας. Το άρθρο 6 στοιχείο ε) της Συνθήκης για τη λειτουργία της Ευρωπαϊκής Ένωσης (ΣΛΕΕ) εκχωρεί στην ΕΕ την αρμοδιότητα να υποστηρίζει ή να συμπληρώνει τη δράση των κρατών μελών στον τομέα του αθλητισμού, ενώ το άρθρο 165 παράγραφος 1 ΣΛΕΕ ορίζει τις λεπτομέρειες της πολιτικής για τον αθλητισμό και αναφέρει ότι η Ένωση «συμβάλλει στην προώθηση των ευρωπαϊκών επιδιώξεων στον χώρο του αθλητισμού, λαμβάνοντας υπόψη παράλληλα τις ιδιαιτερότητές του, τις δομές του που βασίζονται στον εθελοντισμό καθώς και τον κοινωνικό και εκπαιδευτικό του ρόλο». Το άρθρο 165 παράγραφος 2 αναφέρεται στον στόχο της Ένωσης «να αναπτύσσει την ευρωπαϊκή διάσταση του αθλητισμού, προάγοντας τη </w:t>
      </w:r>
      <w:proofErr w:type="spellStart"/>
      <w:r>
        <w:rPr>
          <w:rFonts w:asciiTheme="minorHAnsi" w:eastAsia="Calibri" w:hAnsiTheme="minorHAnsi" w:cstheme="minorHAnsi"/>
          <w:sz w:val="24"/>
          <w:szCs w:val="24"/>
          <w:lang w:eastAsia="en-US"/>
        </w:rPr>
        <w:t>δικαιότητα</w:t>
      </w:r>
      <w:proofErr w:type="spellEnd"/>
      <w:r>
        <w:rPr>
          <w:rFonts w:asciiTheme="minorHAnsi" w:eastAsia="Calibri" w:hAnsiTheme="minorHAnsi" w:cstheme="minorHAnsi"/>
          <w:sz w:val="24"/>
          <w:szCs w:val="24"/>
          <w:lang w:eastAsia="en-US"/>
        </w:rPr>
        <w:t xml:space="preserve"> και τον ανοιχτό χαρακτήρα των αθλητικών αναμετρήσεων και τη συνεργασία μεταξύ των αρμόδιων για τον αθλητισμό φορέων, καθώς και προστατεύοντας τη σωματική και ηθική ακεραιότητα των αθλητών, ιδίως των νεότερων μεταξύ τους». Παράλληλα, η ΕΕ έχει αναλάβει δράση με βάση μη δεσμευτικούς κανόνες («</w:t>
      </w:r>
      <w:proofErr w:type="spellStart"/>
      <w:r>
        <w:rPr>
          <w:rFonts w:asciiTheme="minorHAnsi" w:eastAsia="Calibri" w:hAnsiTheme="minorHAnsi" w:cstheme="minorHAnsi"/>
          <w:sz w:val="24"/>
          <w:szCs w:val="24"/>
          <w:lang w:eastAsia="en-US"/>
        </w:rPr>
        <w:t>soft</w:t>
      </w:r>
      <w:proofErr w:type="spellEnd"/>
      <w:r>
        <w:rPr>
          <w:rFonts w:asciiTheme="minorHAnsi" w:eastAsia="Calibri" w:hAnsiTheme="minorHAnsi" w:cstheme="minorHAnsi"/>
          <w:sz w:val="24"/>
          <w:szCs w:val="24"/>
          <w:lang w:eastAsia="en-US"/>
        </w:rPr>
        <w:t xml:space="preserve"> </w:t>
      </w:r>
      <w:proofErr w:type="spellStart"/>
      <w:r>
        <w:rPr>
          <w:rFonts w:asciiTheme="minorHAnsi" w:eastAsia="Calibri" w:hAnsiTheme="minorHAnsi" w:cstheme="minorHAnsi"/>
          <w:sz w:val="24"/>
          <w:szCs w:val="24"/>
          <w:lang w:eastAsia="en-US"/>
        </w:rPr>
        <w:t>law</w:t>
      </w:r>
      <w:proofErr w:type="spellEnd"/>
      <w:r>
        <w:rPr>
          <w:rFonts w:asciiTheme="minorHAnsi" w:eastAsia="Calibri" w:hAnsiTheme="minorHAnsi" w:cstheme="minorHAnsi"/>
          <w:sz w:val="24"/>
          <w:szCs w:val="24"/>
          <w:lang w:eastAsia="en-US"/>
        </w:rPr>
        <w:t>») σε αλληλένδετους τομείς, όπως είναι η εκπαίδευση, η υγεία και η κοινωνική ένταξη, μέσω των αντίστοιχων χρηματοδοτικών προγραμμάτων.</w:t>
      </w:r>
    </w:p>
    <w:p w14:paraId="3FD17E74" w14:textId="77777777" w:rsidR="002A2422" w:rsidRDefault="002A2422">
      <w:pPr>
        <w:spacing w:before="60" w:after="60"/>
        <w:rPr>
          <w:rFonts w:asciiTheme="minorHAnsi" w:eastAsia="Calibri" w:hAnsiTheme="minorHAnsi" w:cstheme="minorHAnsi"/>
          <w:sz w:val="24"/>
          <w:szCs w:val="24"/>
          <w:lang w:eastAsia="en-US"/>
        </w:rPr>
      </w:pPr>
    </w:p>
    <w:p w14:paraId="62ED0965" w14:textId="77777777" w:rsidR="002A2422" w:rsidRDefault="003B3AD7">
      <w:pPr>
        <w:pStyle w:val="3"/>
        <w:rPr>
          <w:lang w:eastAsia="en-US"/>
        </w:rPr>
      </w:pPr>
      <w:bookmarkStart w:id="17" w:name="_Toc68011183"/>
      <w:bookmarkStart w:id="18" w:name="_Toc73665470"/>
      <w:r>
        <w:rPr>
          <w:lang w:eastAsia="en-US"/>
        </w:rPr>
        <w:t>Ευρωπαϊκή ατζέντα για τον πολιτισμό</w:t>
      </w:r>
      <w:bookmarkEnd w:id="17"/>
      <w:bookmarkEnd w:id="18"/>
    </w:p>
    <w:p w14:paraId="3A8E5F0E" w14:textId="77777777" w:rsidR="002A2422" w:rsidRDefault="003B3AD7">
      <w:pPr>
        <w:spacing w:before="60" w:after="60"/>
        <w:rPr>
          <w:rFonts w:asciiTheme="minorHAnsi" w:eastAsia="Calibri" w:hAnsiTheme="minorHAnsi" w:cstheme="minorHAnsi"/>
          <w:i/>
          <w:iCs/>
          <w:sz w:val="24"/>
          <w:szCs w:val="24"/>
          <w:lang w:eastAsia="en-US"/>
        </w:rPr>
      </w:pPr>
      <w:r>
        <w:rPr>
          <w:rFonts w:asciiTheme="minorHAnsi" w:eastAsia="Calibri" w:hAnsiTheme="minorHAnsi" w:cstheme="minorHAnsi"/>
          <w:sz w:val="24"/>
          <w:szCs w:val="24"/>
          <w:lang w:eastAsia="en-US"/>
        </w:rPr>
        <w:t xml:space="preserve">Σύμφωνα με τη νέα Ευρωπαϊκή Ατζέντα για τον Πολιτισμό (2018), η πλούσια πολιτιστική κληρονομιά και οι δυναμικοί πολιτιστικοί και δημιουργικοί τομείς της Ευρώπης ισχυροποιούν την ευρωπαϊκή ταυτότητα. </w:t>
      </w:r>
      <w:r>
        <w:rPr>
          <w:rFonts w:asciiTheme="minorHAnsi" w:eastAsia="Calibri" w:hAnsiTheme="minorHAnsi" w:cstheme="minorHAnsi"/>
          <w:i/>
          <w:iCs/>
          <w:sz w:val="24"/>
          <w:szCs w:val="24"/>
          <w:lang w:eastAsia="en-US"/>
        </w:rPr>
        <w:t xml:space="preserve">Σκοπός της ατζέντας είναι να αξιοποιηθεί το πλήρες δυναμικό του Πολιτισμού για την οικοδόμηση μίας πιο δίκαιης και χωρίς αποκλεισμούς Ένωσης, με τη στήριξη της Καινοτομίας, της δημιουργικότητας και της βιώσιμης απασχόλησης και ανάπτυξης. </w:t>
      </w:r>
    </w:p>
    <w:p w14:paraId="02E15D21"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lastRenderedPageBreak/>
        <w:t xml:space="preserve">Οι </w:t>
      </w:r>
      <w:r>
        <w:rPr>
          <w:rFonts w:asciiTheme="minorHAnsi" w:eastAsia="Calibri" w:hAnsiTheme="minorHAnsi" w:cstheme="minorHAnsi"/>
          <w:b/>
          <w:bCs/>
          <w:sz w:val="24"/>
          <w:szCs w:val="24"/>
          <w:lang w:eastAsia="en-US"/>
        </w:rPr>
        <w:t>στόχοι</w:t>
      </w:r>
      <w:r>
        <w:rPr>
          <w:rFonts w:asciiTheme="minorHAnsi" w:eastAsia="Calibri" w:hAnsiTheme="minorHAnsi" w:cstheme="minorHAnsi"/>
          <w:sz w:val="24"/>
          <w:szCs w:val="24"/>
          <w:lang w:eastAsia="en-US"/>
        </w:rPr>
        <w:t xml:space="preserve"> αφορούν στην ενίσχυση των πολιτιστικών ικανοτήτων, την ενθάρρυνση της κινητικότητας των επαγγελματιών και την προστασία της πολιτιστικής κληρονομιάς.</w:t>
      </w:r>
    </w:p>
    <w:p w14:paraId="1ABE6194"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Η κοινωνική διάσταση επικεντρώνεται στην  αξιοποίηση της δύναμης του Πολιτισμού  για τους σκοπούς της κοινωνικής συνοχής. Η οικονομική διάσταση, επικεντρώνεται στη στήριξη της πολιτιστικής δημιουργικότητας στην εκπαίδευση και την καινοτομία, την απασχόληση και την ανάπτυξη. Τέλος, η εξωτερική διάσταση επικεντρώνεται στην ενίσχυση των διεθνών πολιτιστικών σχέσεων, με τη στήριξη του Πολιτισμού για βιώσιμη κοινωνικοοικονομική ανάπτυξη, προώθηση διαπολιτισμικού διαλόγου καθώς και ενίσχυση της συνεργασίας.</w:t>
      </w:r>
    </w:p>
    <w:p w14:paraId="14B23327"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Υλοποιείται μέσω ενός νέου προγράμματος εργασιών στον πολιτιστικό τομέα, που εγκρίθηκε από το Συμβούλιο στις 27 Νοεμβρίου 2018. Το πρόγραμμα εργασιών στον πολιτιστικό τομέα 2019-2022 ορίζει πέντε προτεραιότητες: (1) βιωσιμότητα της πολιτιστικής κληρονομιάς (2) συνοχή και ευημερία (3) ένα οικοσύστημα που να στηρίζει τους καλλιτέχνες, τους επαγγελματίες του πολιτισμού και της δημιουργίας και το ευρωπαϊκό περιεχόμενο (4) ισότητα των φύλων και (5) διεθνείς πολιτιστικές σχέσεις. </w:t>
      </w:r>
    </w:p>
    <w:p w14:paraId="1361151F"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Αναλυτικότερα, οι τρεις στρατηγικοί στόχοι της νέας ατζέντας είναι οι εξής: </w:t>
      </w:r>
    </w:p>
    <w:p w14:paraId="0E73F159" w14:textId="77777777" w:rsidR="002A2422" w:rsidRDefault="003B3AD7">
      <w:pPr>
        <w:spacing w:before="60" w:after="60"/>
        <w:rPr>
          <w:rFonts w:asciiTheme="minorHAnsi" w:eastAsia="Calibri" w:hAnsiTheme="minorHAnsi" w:cstheme="minorHAnsi"/>
          <w:b/>
          <w:bCs/>
          <w:sz w:val="24"/>
          <w:szCs w:val="24"/>
          <w:lang w:eastAsia="en-US"/>
        </w:rPr>
      </w:pPr>
      <w:r>
        <w:rPr>
          <w:rFonts w:asciiTheme="minorHAnsi" w:eastAsia="Calibri" w:hAnsiTheme="minorHAnsi" w:cstheme="minorHAnsi"/>
          <w:b/>
          <w:bCs/>
          <w:sz w:val="24"/>
          <w:szCs w:val="24"/>
          <w:lang w:eastAsia="en-US"/>
        </w:rPr>
        <w:t>Κοινωνική διάσταση – αξιοποίηση της δύναμης του πολιτισμού και της πολιτιστικής     πολυμορφίας για τους σκοπούς της κοινωνικής συνοχής και της ευημερίας</w:t>
      </w:r>
    </w:p>
    <w:p w14:paraId="10FEA7D2" w14:textId="77777777" w:rsidR="002A2422" w:rsidRDefault="003B3AD7">
      <w:pPr>
        <w:numPr>
          <w:ilvl w:val="0"/>
          <w:numId w:val="2"/>
        </w:numPr>
        <w:spacing w:before="60" w:after="60"/>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Ενίσχυση των πολιτιστικών ικανοτήτων όλων των Ευρωπαίων με τη διάθεση ποικίλων πολιτιστικών δραστηριοτήτων και την παροχή ευκαιριών για ενεργό συμμετοχή.</w:t>
      </w:r>
    </w:p>
    <w:p w14:paraId="1478D784" w14:textId="77777777" w:rsidR="002A2422" w:rsidRDefault="003B3AD7">
      <w:pPr>
        <w:numPr>
          <w:ilvl w:val="0"/>
          <w:numId w:val="2"/>
        </w:numPr>
        <w:spacing w:before="60" w:after="60"/>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Ενθάρρυνση της κινητικότητας των επαγγελματιών των πολιτιστικών και δημιουργικών τομέων και εξάλειψη των φραγμών στην κινητικότητά τους.</w:t>
      </w:r>
    </w:p>
    <w:p w14:paraId="7AF0AD94" w14:textId="77777777" w:rsidR="002A2422" w:rsidRDefault="003B3AD7">
      <w:pPr>
        <w:numPr>
          <w:ilvl w:val="0"/>
          <w:numId w:val="2"/>
        </w:numPr>
        <w:spacing w:before="60" w:after="60"/>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Προστασία και προώθηση της ευρωπαϊκής πολιτιστικής κληρονομιάς ως κοινού πόρου, με σκοπό την αύξηση της ευαισθητοποίησης των Ευρωπαίων όσον αφορά την κοινή ιστορία και τις κοινές αξίες μας και την ενίσχυση του αισθήματος της κοινής ευρωπαϊκής ταυτότητας.</w:t>
      </w:r>
    </w:p>
    <w:p w14:paraId="7E4003AB" w14:textId="77777777" w:rsidR="002A2422" w:rsidRDefault="002A2422">
      <w:pPr>
        <w:spacing w:before="60" w:after="60"/>
        <w:ind w:left="720"/>
        <w:contextualSpacing/>
        <w:rPr>
          <w:rFonts w:asciiTheme="minorHAnsi" w:eastAsia="Calibri" w:hAnsiTheme="minorHAnsi" w:cstheme="minorHAnsi"/>
          <w:sz w:val="24"/>
          <w:szCs w:val="24"/>
          <w:lang w:eastAsia="en-US"/>
        </w:rPr>
      </w:pPr>
    </w:p>
    <w:p w14:paraId="78D9AF87" w14:textId="77777777" w:rsidR="002A2422" w:rsidRDefault="003B3AD7">
      <w:pPr>
        <w:spacing w:before="60" w:after="60"/>
        <w:contextualSpacing/>
        <w:rPr>
          <w:rFonts w:asciiTheme="minorHAnsi" w:eastAsia="Calibri" w:hAnsiTheme="minorHAnsi" w:cstheme="minorHAnsi"/>
          <w:sz w:val="24"/>
          <w:szCs w:val="24"/>
          <w:lang w:eastAsia="en-US"/>
        </w:rPr>
      </w:pPr>
      <w:r>
        <w:rPr>
          <w:rFonts w:asciiTheme="minorHAnsi" w:eastAsia="Calibri" w:hAnsiTheme="minorHAnsi" w:cstheme="minorHAnsi"/>
          <w:b/>
          <w:bCs/>
          <w:sz w:val="24"/>
          <w:szCs w:val="24"/>
          <w:lang w:eastAsia="en-US"/>
        </w:rPr>
        <w:lastRenderedPageBreak/>
        <w:t>Οικονομική διάσταση – στήριξη της πολιτιστικής δημιουργικότητας στην εκπαίδευση και την καινοτομία, για την απασχόληση και την ανάπτυξη</w:t>
      </w:r>
    </w:p>
    <w:p w14:paraId="522FCA59" w14:textId="77777777" w:rsidR="002A2422" w:rsidRDefault="003B3AD7">
      <w:pPr>
        <w:numPr>
          <w:ilvl w:val="0"/>
          <w:numId w:val="2"/>
        </w:numPr>
        <w:spacing w:before="60" w:after="60"/>
        <w:ind w:left="284" w:hanging="284"/>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Προώθηση των τεχνών, του πολιτισμού και της δημιουργικής σκέψης στην τυπική και μη τυπική εκπαίδευση και κατάρτιση σε όλα τα επίπεδα και στη διά βίου μάθηση.</w:t>
      </w:r>
    </w:p>
    <w:p w14:paraId="0E729F5D" w14:textId="77777777" w:rsidR="002A2422" w:rsidRDefault="003B3AD7">
      <w:pPr>
        <w:numPr>
          <w:ilvl w:val="0"/>
          <w:numId w:val="2"/>
        </w:numPr>
        <w:spacing w:before="60" w:after="60"/>
        <w:ind w:left="284" w:hanging="284"/>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Ενίσχυση ευνοϊκών οικοσυστημάτων για τους κλάδους του πολιτισμού και της δημιουργίας, μέσω της προώθησης της πρόσβασης σε χρηματοδότηση, της ικανότητας καινοτομίας, της δίκαιης αμοιβής συγγραφέων και δημιουργών και της </w:t>
      </w:r>
      <w:proofErr w:type="spellStart"/>
      <w:r>
        <w:rPr>
          <w:rFonts w:asciiTheme="minorHAnsi" w:eastAsia="Calibri" w:hAnsiTheme="minorHAnsi" w:cstheme="minorHAnsi"/>
          <w:sz w:val="24"/>
          <w:szCs w:val="24"/>
          <w:lang w:eastAsia="en-US"/>
        </w:rPr>
        <w:t>διατομεακής</w:t>
      </w:r>
      <w:proofErr w:type="spellEnd"/>
      <w:r>
        <w:rPr>
          <w:rFonts w:asciiTheme="minorHAnsi" w:eastAsia="Calibri" w:hAnsiTheme="minorHAnsi" w:cstheme="minorHAnsi"/>
          <w:sz w:val="24"/>
          <w:szCs w:val="24"/>
          <w:lang w:eastAsia="en-US"/>
        </w:rPr>
        <w:t xml:space="preserve"> συνεργασίας.</w:t>
      </w:r>
    </w:p>
    <w:p w14:paraId="5E585CE5" w14:textId="77777777" w:rsidR="002A2422" w:rsidRDefault="003B3AD7">
      <w:pPr>
        <w:numPr>
          <w:ilvl w:val="0"/>
          <w:numId w:val="2"/>
        </w:numPr>
        <w:spacing w:before="60" w:after="60"/>
        <w:ind w:left="284" w:hanging="284"/>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Προώθηση των δεξιοτήτων που απαιτούνται στους πολιτιστικούς και δημιουργικούς τομείς, συμπεριλαμβανομένων των ψηφιακών, επιχειρηματικών, παραδοσιακών και εξειδικευμένων δεξιοτήτων.</w:t>
      </w:r>
    </w:p>
    <w:p w14:paraId="7EF09A2D" w14:textId="77777777" w:rsidR="002A2422" w:rsidRDefault="003B3AD7">
      <w:pPr>
        <w:pStyle w:val="3"/>
        <w:rPr>
          <w:lang w:eastAsia="en-US"/>
        </w:rPr>
      </w:pPr>
      <w:bookmarkStart w:id="19" w:name="_Toc68011184"/>
      <w:bookmarkStart w:id="20" w:name="_Toc73665471"/>
      <w:r>
        <w:rPr>
          <w:lang w:eastAsia="en-US"/>
        </w:rPr>
        <w:t>Εξωτερική διάσταση – Ενίσχυση των διεθνών πολιτιστικών σχέσεων</w:t>
      </w:r>
      <w:bookmarkEnd w:id="19"/>
      <w:bookmarkEnd w:id="20"/>
    </w:p>
    <w:p w14:paraId="6F579A25" w14:textId="77777777" w:rsidR="002A2422" w:rsidRDefault="003B3AD7">
      <w:pPr>
        <w:numPr>
          <w:ilvl w:val="0"/>
          <w:numId w:val="2"/>
        </w:numPr>
        <w:spacing w:before="60" w:after="60"/>
        <w:ind w:left="284" w:hanging="284"/>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Στήριξη του πολιτισμού ως κινητήριας δύναμης για βιώσιμη κοινωνική και οικονομική ανάπτυξη.</w:t>
      </w:r>
    </w:p>
    <w:p w14:paraId="0EC16991" w14:textId="77777777" w:rsidR="002A2422" w:rsidRDefault="003B3AD7">
      <w:pPr>
        <w:numPr>
          <w:ilvl w:val="0"/>
          <w:numId w:val="2"/>
        </w:numPr>
        <w:spacing w:before="60" w:after="60"/>
        <w:ind w:left="284" w:hanging="284"/>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Προώθηση του πολιτισμού και του διαπολιτισμικού διαλόγου για ειρηνικές διακοινοτικές σχέσεις.</w:t>
      </w:r>
    </w:p>
    <w:p w14:paraId="2CFB9759" w14:textId="77777777" w:rsidR="002A2422" w:rsidRDefault="003B3AD7">
      <w:pPr>
        <w:numPr>
          <w:ilvl w:val="0"/>
          <w:numId w:val="2"/>
        </w:numPr>
        <w:spacing w:before="60" w:after="60"/>
        <w:ind w:left="284" w:hanging="284"/>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Ενίσχυση της συνεργασίας στον τομέα της πολιτιστικής κληρονομιάς.</w:t>
      </w:r>
    </w:p>
    <w:p w14:paraId="4AEA0999"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Σύμφωνα  με τα συμπεράσματα του Συμβουλίου σχετικά με το πρόγραμμα εργασιών στον πολιτιστικό τομέα (2019-2022), (2018/C 460/10) οι ενέργειες που θα υλοποιηθούν την περίοδο 2019-2022 αφορούν:</w:t>
      </w:r>
    </w:p>
    <w:p w14:paraId="0F7F0B60" w14:textId="77777777" w:rsidR="002A2422" w:rsidRDefault="003B3AD7">
      <w:pPr>
        <w:spacing w:before="60" w:after="60"/>
        <w:ind w:left="720"/>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u w:val="single"/>
          <w:lang w:eastAsia="en-US"/>
        </w:rPr>
        <w:t>Προσαρμογή στην κλιματική αλλαγή</w:t>
      </w:r>
      <w:r>
        <w:rPr>
          <w:rFonts w:asciiTheme="minorHAnsi" w:eastAsia="Calibri" w:hAnsiTheme="minorHAnsi" w:cstheme="minorHAnsi"/>
          <w:sz w:val="24"/>
          <w:szCs w:val="24"/>
          <w:lang w:eastAsia="en-US"/>
        </w:rPr>
        <w:t>: θα πρέπει να δοθεί ιδιαίτερη έμφαση στην ενεργειακή απόδοση των ιστορικών κτιρίων, στον σχεδιασμό και τον μετασχηματισμό του πολιτιστικού τοπίου και στην ασφάλεια της κληρονομιάς υπό ακραίες κλιματικές συνθήκες.</w:t>
      </w:r>
    </w:p>
    <w:p w14:paraId="17E41EB8" w14:textId="77777777" w:rsidR="002A2422" w:rsidRDefault="003B3AD7">
      <w:pPr>
        <w:spacing w:before="60" w:after="60"/>
        <w:ind w:left="720"/>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u w:val="single"/>
          <w:lang w:eastAsia="en-US"/>
        </w:rPr>
        <w:t>Αρχιτεκτονική και δομημένο περιβάλλον υψηλής ποιότητας για όλους</w:t>
      </w:r>
      <w:r>
        <w:rPr>
          <w:rFonts w:asciiTheme="minorHAnsi" w:eastAsia="Calibri" w:hAnsiTheme="minorHAnsi" w:cstheme="minorHAnsi"/>
          <w:sz w:val="24"/>
          <w:szCs w:val="24"/>
          <w:lang w:eastAsia="en-US"/>
        </w:rPr>
        <w:t>: θα δοθεί έμφαση στη σωστή ισορροπία ανάμεσα στις πολιτιστικές, κοινωνικές, οικονομικές, περιβαλλοντικές και τεχνικές πτυχές που συμβάλλουν στην κοινωνική ένταξη και στη βιώσιμη ανάπτυξη.</w:t>
      </w:r>
    </w:p>
    <w:p w14:paraId="257B3F34" w14:textId="77777777" w:rsidR="002A2422" w:rsidRDefault="003B3AD7">
      <w:pPr>
        <w:spacing w:before="60" w:after="60"/>
        <w:ind w:left="720"/>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u w:val="single"/>
          <w:lang w:eastAsia="en-US"/>
        </w:rPr>
        <w:lastRenderedPageBreak/>
        <w:t>Συμπαραγωγές στον οπτικοακουστικό τομέα</w:t>
      </w:r>
      <w:r>
        <w:rPr>
          <w:rFonts w:asciiTheme="minorHAnsi" w:eastAsia="Calibri" w:hAnsiTheme="minorHAnsi" w:cstheme="minorHAnsi"/>
          <w:sz w:val="24"/>
          <w:szCs w:val="24"/>
          <w:lang w:eastAsia="en-US"/>
        </w:rPr>
        <w:t xml:space="preserve">: τα εθνικά και ευρωπαϊκά προγράμματα  δίνουν ολοένα και περισσότερη προσοχή στις δυνατότητες των συμπαραγωγών, τόσο για κινηματογραφικές ταινίες όσο και για τηλεοπτικές παραγωγές, συμπεριλαμβανομένης της διμερούς συμπαραγωγής και της κοινής ανάπτυξης από ευρωπαϊκές χώρες, καθώς και της συμπαραγωγής με μη ευρωπαϊκές χώρες. </w:t>
      </w:r>
    </w:p>
    <w:p w14:paraId="043476E0" w14:textId="77777777" w:rsidR="002A2422" w:rsidRDefault="003B3AD7">
      <w:pPr>
        <w:spacing w:before="60" w:after="60"/>
        <w:ind w:left="720"/>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u w:val="single"/>
          <w:lang w:eastAsia="en-US"/>
        </w:rPr>
        <w:t xml:space="preserve">Πολυμορφία και ανταγωνιστικότητα στον τομέα της μουσικής: </w:t>
      </w:r>
      <w:r>
        <w:rPr>
          <w:rFonts w:asciiTheme="minorHAnsi" w:eastAsia="Calibri" w:hAnsiTheme="minorHAnsi" w:cstheme="minorHAnsi"/>
          <w:sz w:val="24"/>
          <w:szCs w:val="24"/>
          <w:lang w:eastAsia="en-US"/>
        </w:rPr>
        <w:t xml:space="preserve">η στροφή στα ψηφιακά μέσα, ιδίως η εμφάνιση της διαδικτυακής διανομής μουσικής, και ο αυξημένος παγκόσμιος ανταγωνισμός έχουν επιφέρει θεμελιώδεις αλλαγές στον τρόπο με τον οποίο δημιουργείται, παράγεται, διανέμεται, καταναλώνεται και αποφέρει έσοδα η μουσική. </w:t>
      </w:r>
    </w:p>
    <w:p w14:paraId="6BC11FB4" w14:textId="77777777" w:rsidR="002A2422" w:rsidRDefault="003B3AD7">
      <w:pPr>
        <w:spacing w:before="60" w:after="60"/>
        <w:ind w:left="720"/>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u w:val="single"/>
          <w:lang w:eastAsia="en-US"/>
        </w:rPr>
        <w:t xml:space="preserve">Ισότητα των φύλων στους τομείς του πολιτισμού και της δημιουργίας: </w:t>
      </w:r>
      <w:r>
        <w:rPr>
          <w:rFonts w:asciiTheme="minorHAnsi" w:eastAsia="Calibri" w:hAnsiTheme="minorHAnsi" w:cstheme="minorHAnsi"/>
          <w:sz w:val="24"/>
          <w:szCs w:val="24"/>
          <w:lang w:eastAsia="en-US"/>
        </w:rPr>
        <w:t xml:space="preserve">Η Επιτροπή θα προβεί σε χαρτογράφηση της κατάστασης των γυναικών καλλιτεχνών και επαγγελματιών του πολιτισμού (π.χ. καταπολέμηση των στερεοτύπων και της σεξουαλικής παρενόχλησης, πρόσβαση σε πόρους, εκπροσώπηση σε θέσεις λήψης αποφάσεων, αμοιβή). </w:t>
      </w:r>
    </w:p>
    <w:p w14:paraId="6AEA1C4C" w14:textId="77777777" w:rsidR="002A2422" w:rsidRDefault="003B3AD7">
      <w:pPr>
        <w:spacing w:before="60" w:after="60"/>
        <w:ind w:left="3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Σύμφωνα με το Ψήφισμα του Συμβουλίου της Ευρωπαϊκής Ένωσης 2019/C 410/01, αναφέρεται ότι στο στρατηγικό θεματολόγιο 2019-2024, η </w:t>
      </w:r>
      <w:proofErr w:type="spellStart"/>
      <w:r>
        <w:rPr>
          <w:rFonts w:asciiTheme="minorHAnsi" w:eastAsia="Calibri" w:hAnsiTheme="minorHAnsi" w:cstheme="minorHAnsi"/>
          <w:sz w:val="24"/>
          <w:szCs w:val="24"/>
          <w:lang w:eastAsia="en-US"/>
        </w:rPr>
        <w:t>συμμετοχικότητα</w:t>
      </w:r>
      <w:proofErr w:type="spellEnd"/>
      <w:r>
        <w:rPr>
          <w:rFonts w:asciiTheme="minorHAnsi" w:eastAsia="Calibri" w:hAnsiTheme="minorHAnsi" w:cstheme="minorHAnsi"/>
          <w:sz w:val="24"/>
          <w:szCs w:val="24"/>
          <w:lang w:eastAsia="en-US"/>
        </w:rPr>
        <w:t xml:space="preserve"> και η βιωσιμότητα αποτελούν βασικά δομικά στοιχεία και οι ηγέτες της ΕΕ δεσμεύονται να επενδύσουν στον πολιτισμό και την πολιτιστική κληρονομιά, που βρίσκονται στην καρδιά της ευρωπαϊκής ταυτότητας. </w:t>
      </w:r>
    </w:p>
    <w:p w14:paraId="324C7CA2" w14:textId="77777777" w:rsidR="002A2422" w:rsidRDefault="003B3AD7">
      <w:pPr>
        <w:spacing w:before="60" w:after="60"/>
        <w:ind w:left="3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Παράλληλα, σύμφωνα με τους δεκαεπτά στόχους των Ηνωμένων Εθνών αναφορικά με τη βιώσιμη ανάπτυξη, και καθώς ο Πολιτισμός, σε συνεργασία με τον Τουρισμό αποτελούν  τομείς κατανάλωσης, υπάγονται στον Στόχο Βιώσιμης Ανάπτυξης (ΣΒΑ) 12 «Διασφάλιση μεθόδων βιώσιμης κατανάλωσης και παραγωγής», και  οδηγούν προς μια Ηθική Κατανάλωση.  Η βιώσιμη κατανάλωση προϋποθέτει επίσης πολιτικές για τους καταναλωτές που αυξάνουν την ευαισθητοποίησή τους και τους επιτρέπουν να κάνουν συνειδητές επιλογές που συμβάλλουν στην </w:t>
      </w:r>
      <w:proofErr w:type="spellStart"/>
      <w:r>
        <w:rPr>
          <w:rFonts w:asciiTheme="minorHAnsi" w:eastAsia="Calibri" w:hAnsiTheme="minorHAnsi" w:cstheme="minorHAnsi"/>
          <w:sz w:val="24"/>
          <w:szCs w:val="24"/>
          <w:lang w:eastAsia="en-US"/>
        </w:rPr>
        <w:t>αειφορία</w:t>
      </w:r>
      <w:proofErr w:type="spellEnd"/>
      <w:r>
        <w:rPr>
          <w:rFonts w:asciiTheme="minorHAnsi" w:eastAsia="Calibri" w:hAnsiTheme="minorHAnsi" w:cstheme="minorHAnsi"/>
          <w:sz w:val="24"/>
          <w:szCs w:val="24"/>
          <w:lang w:eastAsia="en-US"/>
        </w:rPr>
        <w:t>.</w:t>
      </w:r>
    </w:p>
    <w:p w14:paraId="3B56116B" w14:textId="77777777" w:rsidR="002A2422" w:rsidRDefault="003B3AD7">
      <w:pPr>
        <w:spacing w:before="60" w:after="60"/>
        <w:ind w:left="3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lastRenderedPageBreak/>
        <w:t>Σύμφωνα με το πολυετές δημοσιονομικό πλαίσιο 2021 – 2027,  ο πολιτισμός βρίσκεται στο επίκεντρο του ευρωπαϊκού εγχειρήματος. Η πολιτισμική και γλωσσική πολυμορφία καθώς και η πολιτιστική κληρονομιά αποτελούν τα καθοριστικά χαρακτηριστικά της ευρωπαϊκής ηπείρου και ταυτότητας. Μέσω του προγράμματος Δημιουργική Ευρώπη, η Επιτροπή επιθυμεί να δοθεί ιδιαίτερη έμφαση στον προσεχή προϋπολογισμό στη στήριξη του πολιτισμού και του οπτικοακουστικού τομέα, με μια μεταξύ άλλων  ισχυρή συνιστώσα MEDIA με ενίσχυση της χρηματοδότησης για τη στήριξη της ευρωπαϊκής δημιουργικής και οπτικοακουστικής βιομηχανίας.</w:t>
      </w:r>
    </w:p>
    <w:p w14:paraId="6FE7030B" w14:textId="77777777" w:rsidR="002A2422" w:rsidRDefault="003B3AD7">
      <w:pPr>
        <w:spacing w:before="60" w:after="60"/>
        <w:ind w:left="3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Παράλληλα, όπως αναφέρεται και στην έκθεση του ΟΟΣΑ για την Περιφερειακή Πολιτική της Ελλάδας μετά το 2020, απαιτείται η προώθηση μέτρων και δράσεων σε περιφέρειες και κοινότητες με στόχο την ενίσχυση της </w:t>
      </w:r>
      <w:proofErr w:type="spellStart"/>
      <w:r>
        <w:rPr>
          <w:rFonts w:asciiTheme="minorHAnsi" w:eastAsia="Calibri" w:hAnsiTheme="minorHAnsi" w:cstheme="minorHAnsi"/>
          <w:sz w:val="24"/>
          <w:szCs w:val="24"/>
          <w:lang w:eastAsia="en-US"/>
        </w:rPr>
        <w:t>ψηφιοποίησης</w:t>
      </w:r>
      <w:proofErr w:type="spellEnd"/>
      <w:r>
        <w:rPr>
          <w:rFonts w:asciiTheme="minorHAnsi" w:eastAsia="Calibri" w:hAnsiTheme="minorHAnsi" w:cstheme="minorHAnsi"/>
          <w:sz w:val="24"/>
          <w:szCs w:val="24"/>
          <w:lang w:eastAsia="en-US"/>
        </w:rPr>
        <w:t xml:space="preserve"> για την καλύτερη δυνατή  συγκέντρωση πληροφοριών και στοιχείων για την ανάπτυξη συγγενών κλάδων Τουρισμού - Πολιτισμού.  </w:t>
      </w:r>
    </w:p>
    <w:p w14:paraId="0C6CC0A6" w14:textId="77777777" w:rsidR="002A2422" w:rsidRDefault="003B3AD7">
      <w:pPr>
        <w:pStyle w:val="3"/>
        <w:rPr>
          <w:lang w:eastAsia="en-US"/>
        </w:rPr>
      </w:pPr>
      <w:r>
        <w:rPr>
          <w:lang w:eastAsia="en-US"/>
        </w:rPr>
        <w:t xml:space="preserve"> </w:t>
      </w:r>
      <w:bookmarkStart w:id="21" w:name="_Toc73665472"/>
      <w:r>
        <w:rPr>
          <w:lang w:eastAsia="en-US"/>
        </w:rPr>
        <w:t>Ευρωπαϊκή Ατζέντα για τον Αθλητισμό</w:t>
      </w:r>
      <w:bookmarkEnd w:id="21"/>
    </w:p>
    <w:p w14:paraId="43275953" w14:textId="77777777" w:rsidR="002A2422" w:rsidRDefault="003B3AD7">
      <w:pPr>
        <w:spacing w:before="60" w:after="60"/>
        <w:rPr>
          <w:rFonts w:asciiTheme="minorHAnsi" w:eastAsia="Calibri" w:hAnsiTheme="minorHAnsi" w:cstheme="minorHAnsi"/>
          <w:b/>
          <w:sz w:val="24"/>
          <w:szCs w:val="24"/>
          <w:lang w:eastAsia="en-US"/>
        </w:rPr>
      </w:pPr>
      <w:r>
        <w:rPr>
          <w:rFonts w:asciiTheme="minorHAnsi" w:eastAsia="Calibri" w:hAnsiTheme="minorHAnsi" w:cstheme="minorHAnsi"/>
          <w:b/>
          <w:sz w:val="24"/>
          <w:szCs w:val="24"/>
          <w:lang w:eastAsia="en-US"/>
        </w:rPr>
        <w:t xml:space="preserve">Η Λευκή Βίβλος για τον αθλητισμό και το σχέδιο δράσης </w:t>
      </w:r>
      <w:proofErr w:type="spellStart"/>
      <w:r>
        <w:rPr>
          <w:rFonts w:asciiTheme="minorHAnsi" w:eastAsia="Calibri" w:hAnsiTheme="minorHAnsi" w:cstheme="minorHAnsi"/>
          <w:b/>
          <w:sz w:val="24"/>
          <w:szCs w:val="24"/>
          <w:lang w:eastAsia="en-US"/>
        </w:rPr>
        <w:t>Pierre</w:t>
      </w:r>
      <w:proofErr w:type="spellEnd"/>
      <w:r>
        <w:rPr>
          <w:rFonts w:asciiTheme="minorHAnsi" w:eastAsia="Calibri" w:hAnsiTheme="minorHAnsi" w:cstheme="minorHAnsi"/>
          <w:b/>
          <w:sz w:val="24"/>
          <w:szCs w:val="24"/>
          <w:lang w:eastAsia="en-US"/>
        </w:rPr>
        <w:t xml:space="preserve"> de </w:t>
      </w:r>
      <w:proofErr w:type="spellStart"/>
      <w:r>
        <w:rPr>
          <w:rFonts w:asciiTheme="minorHAnsi" w:eastAsia="Calibri" w:hAnsiTheme="minorHAnsi" w:cstheme="minorHAnsi"/>
          <w:b/>
          <w:sz w:val="24"/>
          <w:szCs w:val="24"/>
          <w:lang w:eastAsia="en-US"/>
        </w:rPr>
        <w:t>Coubertin</w:t>
      </w:r>
      <w:proofErr w:type="spellEnd"/>
    </w:p>
    <w:p w14:paraId="579AA7C2"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Η Λευκή Βίβλος για τον αθλητισμό δημοσιεύθηκε το 2007 από την Επιτροπή και θεωρείται η πρώτη ολοκληρωμένη πρωτοβουλία για τον αθλητισμό της ΕΕ. Σε όλη τη διάρκεια της περιόδου εφαρμογής των προτεινόμενων δράσεων, η Επιτροπή συνέλεξε χρήσιμα στοιχεία για θέματα που θα χρειαστεί να αντιμετωπίσει στο μέλλον. Η Λευκή Βίβλος εξέτασε μια σειρά στόχων, μεταξύ των οποίων:</w:t>
      </w:r>
    </w:p>
    <w:p w14:paraId="632298D0" w14:textId="77777777" w:rsidR="002A2422" w:rsidRDefault="003B3AD7">
      <w:pPr>
        <w:spacing w:before="60" w:after="60"/>
        <w:ind w:left="3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την ενίσχυση του ρόλου του αθλητισμού στην κοινωνία,</w:t>
      </w:r>
    </w:p>
    <w:p w14:paraId="414D4D83" w14:textId="77777777" w:rsidR="002A2422" w:rsidRDefault="003B3AD7">
      <w:pPr>
        <w:spacing w:before="60" w:after="60"/>
        <w:ind w:left="3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την προαγωγή της δημόσιας υγείας μέσω της σωματικής άσκησης,</w:t>
      </w:r>
    </w:p>
    <w:p w14:paraId="4DA36E49" w14:textId="77777777" w:rsidR="002A2422" w:rsidRDefault="003B3AD7">
      <w:pPr>
        <w:spacing w:before="60" w:after="60"/>
        <w:ind w:left="3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την τόνωση των εθελοντικών δραστηριοτήτων,</w:t>
      </w:r>
    </w:p>
    <w:p w14:paraId="11CABC3E" w14:textId="77777777" w:rsidR="002A2422" w:rsidRDefault="003B3AD7">
      <w:pPr>
        <w:spacing w:before="60" w:after="60"/>
        <w:ind w:left="3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την ενίσχυση της οικονομικής διάστασης του αθλητισμού και της ελεύθερης κυκλοφορίας των παικτών,</w:t>
      </w:r>
    </w:p>
    <w:p w14:paraId="29A44235" w14:textId="77777777" w:rsidR="002A2422" w:rsidRDefault="003B3AD7">
      <w:pPr>
        <w:spacing w:before="60" w:after="60"/>
        <w:ind w:left="3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 την καταπολέμηση της </w:t>
      </w:r>
      <w:proofErr w:type="spellStart"/>
      <w:r>
        <w:rPr>
          <w:rFonts w:asciiTheme="minorHAnsi" w:eastAsia="Calibri" w:hAnsiTheme="minorHAnsi" w:cstheme="minorHAnsi"/>
          <w:sz w:val="24"/>
          <w:szCs w:val="24"/>
          <w:lang w:eastAsia="en-US"/>
        </w:rPr>
        <w:t>φαρμακοδιέγερσης</w:t>
      </w:r>
      <w:proofErr w:type="spellEnd"/>
      <w:r>
        <w:rPr>
          <w:rFonts w:asciiTheme="minorHAnsi" w:eastAsia="Calibri" w:hAnsiTheme="minorHAnsi" w:cstheme="minorHAnsi"/>
          <w:sz w:val="24"/>
          <w:szCs w:val="24"/>
          <w:lang w:eastAsia="en-US"/>
        </w:rPr>
        <w:t>, της διαφθοράς και της νομιμοποίησης εσόδων από εγκληματικές δραστηριότητες, και</w:t>
      </w:r>
    </w:p>
    <w:p w14:paraId="1D8CC120" w14:textId="77777777" w:rsidR="002A2422" w:rsidRDefault="003B3AD7">
      <w:pPr>
        <w:spacing w:before="60" w:after="60"/>
        <w:ind w:left="3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lastRenderedPageBreak/>
        <w:t>- τον έλεγχο των δικαιωμάτων αναμετάδοσης.</w:t>
      </w:r>
    </w:p>
    <w:p w14:paraId="3BD9A23F"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b/>
          <w:sz w:val="24"/>
          <w:szCs w:val="24"/>
          <w:lang w:eastAsia="en-US"/>
        </w:rPr>
        <w:t>Ανάπτυξη της ευρωπαϊκής διάστασης στον αθλητισμό</w:t>
      </w:r>
    </w:p>
    <w:p w14:paraId="27321884"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Η Λευκή Βίβλος της Επιτροπής για τον αθλητισμό και η θέση σε ισχύ της Συνθήκης της Λισαβόνας το 2009 προετοίμασαν το έδαφος για την ανακοίνωση της Επιτροπής, τον Ιανουάριο του 2011, σχετικά με τον αντίκτυπο της Συνθήκης της Λισαβόνας στον αθλητισμό, με τίτλο «Ανάπτυξη της ευρωπαϊκής διάστασης στον αθλητισμό». Αυτή η ανακοίνωση υπήρξε το πρώτο έγγραφο πολιτικής που ενέκρινε η Επιτροπή στον αθλητισμό από την έναρξη ισχύος της Συνθήκης της Λισαβόνας και μετά. Η ανακοίνωση επισήμανε την ικανότητα του αθλητισμού να συμβάλει σημαντικά στους γενικούς στόχους της στρατηγικής «Ευρώπη 2020» για την ανάπτυξη και την απασχόληση (2010-2020), με θετικό αντίκτυπο στην απασχόληση και την κοινωνική ένταξη. Πρότεινε επίσης ότι πρέπει η ΕΕ να υπογράψει τη Σύμβαση του Συμβουλίου της Ευρώπης κατά του Ντόπινγκ, να αναπτύξει και εφαρμόσει ρυθμίσεις και προδιαγραφές ασφάλειας για διεθνείς αθλητικές διοργανώσεις, να συνεχίσει τα βήματα προόδου προς τη θέσπιση εθνικών στόχων βασισμένων στις κατευθυντήριες γραμμές της ΕΕ για τη σωματική άσκηση και να αναπτύξει προδιαγραφές για την πρόσβαση ατόμων με αναπηρία σε αθλητικές εκδηλώσεις και σε γήπεδα και γυμναστήρια.</w:t>
      </w:r>
    </w:p>
    <w:p w14:paraId="47E33A52"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Ως προς την οικονομική διάσταση, η Επιτροπή ζήτησε από τα συλλογικά όργανα του αθλητισμού να δημιουργήσουν μηχανισμούς για τη συλλογική πώληση δικαιωμάτων αναμετάδοσης ώστε να εξασφαλίζεται η ικανοποιητική αναδιανομή των εσόδων. Άλλα θέματα που εξετάστηκαν αφορούσαν τα δικαιώματα πνευματικής ιδιοκτησίας στον τομέα του αθλητισμού, τις ανταλλαγές βέλτιστων πρακτικών για τη διαφανή και βιώσιμη χρηματοδότηση του αθλητισμού και την παρακολούθηση της εφαρμογής της νομοθεσίας περί κρατικών ενισχύσεων στον τομέα του αθλητισμού.</w:t>
      </w:r>
    </w:p>
    <w:p w14:paraId="734148BB" w14:textId="77777777" w:rsidR="002A2422" w:rsidRDefault="002A2422">
      <w:pPr>
        <w:spacing w:before="60" w:after="60"/>
        <w:ind w:left="360"/>
        <w:rPr>
          <w:rFonts w:asciiTheme="minorHAnsi" w:eastAsia="Calibri" w:hAnsiTheme="minorHAnsi" w:cstheme="minorHAnsi"/>
          <w:b/>
          <w:sz w:val="24"/>
          <w:szCs w:val="24"/>
          <w:lang w:eastAsia="en-US"/>
        </w:rPr>
      </w:pPr>
    </w:p>
    <w:p w14:paraId="2A90322F"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b/>
          <w:sz w:val="24"/>
          <w:szCs w:val="24"/>
          <w:lang w:eastAsia="en-US"/>
        </w:rPr>
        <w:t xml:space="preserve"> Το πρόγραμμα εργασιών της ΕΕ για τον αθλητισμό</w:t>
      </w:r>
    </w:p>
    <w:p w14:paraId="78E1FF7A"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Το πρόγραμμα εργασιών της ΕΕ για τον αθλητισμό είναι ένα από τα πιο σημαντικά έγγραφα χάραξης πολιτικής της ΕΕ στον τομέα του αθλητισμού. Επικεντρώνεται στις βασικές </w:t>
      </w:r>
      <w:r>
        <w:rPr>
          <w:rFonts w:asciiTheme="minorHAnsi" w:eastAsia="Calibri" w:hAnsiTheme="minorHAnsi" w:cstheme="minorHAnsi"/>
          <w:sz w:val="24"/>
          <w:szCs w:val="24"/>
          <w:lang w:eastAsia="en-US"/>
        </w:rPr>
        <w:lastRenderedPageBreak/>
        <w:t>δραστηριότητες της Ένωσης στον τομέα αυτό και λειτουργεί ως μέσο καθοδήγησης για την προώθηση της συνεργασίας μεταξύ των θεσμικών οργάνων της ΕΕ, των κρατών μελών και των ενδιαφερόμενων αθλητικών φορέων. </w:t>
      </w:r>
    </w:p>
    <w:p w14:paraId="1112D353"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Το πρώτο πρόγραμμα εργασιών για τον αθλητισμό (2011-2014) εγκρίθηκε από το Συμβούλιο το 2011 και το επόμενο το 2014. Στο σχέδιο της περιόδου 2014-2017 περιγράφονται τρεις προτεραιότητες: (1) η ακεραιότητα του αθλητισμού, (2) η οικονομική του διάσταση και (3) η σχέση μεταξύ αθλητισμού και κοινωνίας. Προκειμένου αυτές να γίνουν πραγματικότητα, τα κράτη μέλη και η Επιτροπή συνέστησαν πέντε ομάδες εμπειρογνωμόνων, με αντικείμενα τους </w:t>
      </w:r>
      <w:proofErr w:type="spellStart"/>
      <w:r>
        <w:rPr>
          <w:rFonts w:asciiTheme="minorHAnsi" w:eastAsia="Calibri" w:hAnsiTheme="minorHAnsi" w:cstheme="minorHAnsi"/>
          <w:sz w:val="24"/>
          <w:szCs w:val="24"/>
          <w:lang w:eastAsia="en-US"/>
        </w:rPr>
        <w:t>προσυνεννοημένους</w:t>
      </w:r>
      <w:proofErr w:type="spellEnd"/>
      <w:r>
        <w:rPr>
          <w:rFonts w:asciiTheme="minorHAnsi" w:eastAsia="Calibri" w:hAnsiTheme="minorHAnsi" w:cstheme="minorHAnsi"/>
          <w:sz w:val="24"/>
          <w:szCs w:val="24"/>
          <w:lang w:eastAsia="en-US"/>
        </w:rPr>
        <w:t xml:space="preserve"> αγώνες, τη χρηστή διακυβέρνηση, την οικονομική διάσταση του αθλητισμού, τη σωματική δραστηριότητα για τη βελτίωση της υγείας (HEPA) και την ανάπτυξη ανθρώπινων πόρων στον τομέα του αθλητισμού.</w:t>
      </w:r>
    </w:p>
    <w:p w14:paraId="1A41CF20"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Κατά τη διάρκεια του Μαΐου 2016, το Συμβούλιο ενέκρινε τα συμπεράσματά του σχετικά με την ενίσχυση της ακεραιότητας, της διαφάνειας και της χρηστής διακυβέρνησης σε μεγάλες αθλητικές εκδηλώσεις, καλώντας τα κράτη μέλη να ενσωματώσουν την ακεραιότητα και τη διαφάνεια σε επίπεδο ΕΕ στο μελλοντικό πρόγραμμα εργασιών, να στηρίξουν την εφαρμογή κριτηρίων και διαδικασιών που σχετίζονται με τη χρηστή διακυβέρνηση και να προσδιορίσουν και να αναπτύξουν μοντέλα για τη συνεργασία δημόσιου και ιδιωτικού τομέα και την ανταλλαγή ορθών πρακτικών.</w:t>
      </w:r>
    </w:p>
    <w:p w14:paraId="69B3CC66"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Στις 23 Μαΐου 2017, το Συμβούλιο «Παιδεία, Νεολαία, Πολιτισμός και Αθλητισμός» ενέκρινε το τρίτο πρόγραμμα εργασιών της Ευρωπαϊκής Ένωσης για τον αθλητισμό (2017-2020), του οποίου οι βασικές προτεραιότητες αντανακλούσαν εκείνες του προηγούμενου σχεδίου. Με το τρίτο σχέδιο συστάθηκαν μόνο δύο ομάδες εμπειρογνωμόνων (για την ακεραιότητα και την ανάπτυξη δεξιοτήτων και ανθρώπινων πόρων στον αθλητισμό), θεσπίστηκαν νέες μέθοδοι εργασίας, όπως οι συνεδριάσεις θεματικών ενοτήτων, και παρατάθηκε η διάρκεια του σχεδίου σε τρεισήμισι έτη συνολικά, προκειμένου να ευθυγραμμιστεί με το πρόγραμμα </w:t>
      </w:r>
      <w:proofErr w:type="spellStart"/>
      <w:r>
        <w:rPr>
          <w:rFonts w:asciiTheme="minorHAnsi" w:eastAsia="Calibri" w:hAnsiTheme="minorHAnsi" w:cstheme="minorHAnsi"/>
          <w:sz w:val="24"/>
          <w:szCs w:val="24"/>
          <w:lang w:eastAsia="en-US"/>
        </w:rPr>
        <w:t>Erasmus</w:t>
      </w:r>
      <w:proofErr w:type="spellEnd"/>
      <w:r>
        <w:rPr>
          <w:rFonts w:asciiTheme="minorHAnsi" w:eastAsia="Calibri" w:hAnsiTheme="minorHAnsi" w:cstheme="minorHAnsi"/>
          <w:sz w:val="24"/>
          <w:szCs w:val="24"/>
          <w:lang w:eastAsia="en-US"/>
        </w:rPr>
        <w:t>+ και με το πολυετές δημοσιονομικό πλαίσιο.</w:t>
      </w:r>
    </w:p>
    <w:p w14:paraId="31B553BA"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lastRenderedPageBreak/>
        <w:t xml:space="preserve">Την 1η Δεκεμβρίου 2020, το Συμβούλιο των Ευρωπαίων Υπουργών Αθλητισμού ενέκρινε το τέταρτο πρόγραμμα εργασιών της ΕΕ για τον αθλητισμό (2021-2024). Η σωματική άσκηση κατέχει </w:t>
      </w:r>
      <w:proofErr w:type="spellStart"/>
      <w:r>
        <w:rPr>
          <w:rFonts w:asciiTheme="minorHAnsi" w:eastAsia="Calibri" w:hAnsiTheme="minorHAnsi" w:cstheme="minorHAnsi"/>
          <w:sz w:val="24"/>
          <w:szCs w:val="24"/>
          <w:lang w:eastAsia="en-US"/>
        </w:rPr>
        <w:t>προεξάρχουσα</w:t>
      </w:r>
      <w:proofErr w:type="spellEnd"/>
      <w:r>
        <w:rPr>
          <w:rFonts w:asciiTheme="minorHAnsi" w:eastAsia="Calibri" w:hAnsiTheme="minorHAnsi" w:cstheme="minorHAnsi"/>
          <w:sz w:val="24"/>
          <w:szCs w:val="24"/>
          <w:lang w:eastAsia="en-US"/>
        </w:rPr>
        <w:t xml:space="preserve"> θέση στο σχέδιο, με τις επενδύσεις στον αθλητισμό και τη σωματική άσκηση για τη βελτίωση της υγείας, συμπεριλαμβανομένης της δημιουργίας αθλητικών ευκαιριών για όλες τις γενιές, να καταγράφονται ως βασική προτεραιότητα. Το σχέδιο επιδιώκει επίσης να ενισχύσει την ανάκαμψη και την ανθεκτικότητα στην κρίση του αθλητικού τομέα τόσο κατά τη διάρκεια όσο και μετά τη λήξη της πανδημίας της COVID-19. Σε άλλους βασικούς τομείς δράσης, δίνεται μεταξύ άλλων προτεραιότητα στις δεξιότητες και στα επαγγελματικά προσόντα στον αθλητισμό χάρη στην ανταλλαγή βέλτιστων πρακτικών και στην ανάπτυξη γνώσεων, επιδιώκεται η προστασία της ακεραιότητας και των αξιών, προωθούνται οι κοινωνικοοικονομικές και περιβαλλοντικές διαστάσεις του αθλητισμού και προάγεται η ισότητα των φύλων. Η ΕΕ επιδιώκει επίσης να αυξήσει το ποσοστό των γυναικών μεταξύ των ανώτατων διοικητικών στελεχών και των προπονητών, να προωθήσει ίσους όρους για όλους τους αθλητές και να ενισχύσει την κάλυψη του γυναικείου αθλητισμού από τα μέσα ενημέρωσης.</w:t>
      </w:r>
    </w:p>
    <w:p w14:paraId="1459C4EA"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Σε συνάρτηση με τη μετάβαση της ΕΕ σε μια πράσινη οικονομία, ο λεγόμενος «πράσινος αθλητισμός» αποτελεί επίσης προτεραιότητα, δεδομένου ότι το σχέδιο προτείνει την ανάπτυξη κοινού πλαισίου με κοινές δεσμεύσεις που λαμβάνουν υπόψη το ευρωπαϊκό σύμφωνο για το κλίμα. Αποδίδεται επίσης μεγαλύτερη έμφαση στην καινοτομία και την </w:t>
      </w:r>
      <w:proofErr w:type="spellStart"/>
      <w:r>
        <w:rPr>
          <w:rFonts w:asciiTheme="minorHAnsi" w:eastAsia="Calibri" w:hAnsiTheme="minorHAnsi" w:cstheme="minorHAnsi"/>
          <w:sz w:val="24"/>
          <w:szCs w:val="24"/>
          <w:lang w:eastAsia="en-US"/>
        </w:rPr>
        <w:t>ψηφιοποίηση</w:t>
      </w:r>
      <w:proofErr w:type="spellEnd"/>
      <w:r>
        <w:rPr>
          <w:rFonts w:asciiTheme="minorHAnsi" w:eastAsia="Calibri" w:hAnsiTheme="minorHAnsi" w:cstheme="minorHAnsi"/>
          <w:sz w:val="24"/>
          <w:szCs w:val="24"/>
          <w:lang w:eastAsia="en-US"/>
        </w:rPr>
        <w:t xml:space="preserve"> σε όλους τους τομείς του αθλητισμού.</w:t>
      </w:r>
    </w:p>
    <w:p w14:paraId="52E3FD47" w14:textId="77777777" w:rsidR="002A2422" w:rsidRDefault="002A2422">
      <w:pPr>
        <w:spacing w:before="60" w:after="60"/>
        <w:rPr>
          <w:rFonts w:asciiTheme="minorHAnsi" w:eastAsia="Calibri" w:hAnsiTheme="minorHAnsi" w:cstheme="minorHAnsi"/>
          <w:b/>
          <w:sz w:val="24"/>
          <w:szCs w:val="24"/>
          <w:lang w:eastAsia="en-US"/>
        </w:rPr>
      </w:pPr>
    </w:p>
    <w:p w14:paraId="0F787672"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b/>
          <w:sz w:val="24"/>
          <w:szCs w:val="24"/>
          <w:lang w:eastAsia="en-US"/>
        </w:rPr>
        <w:t>Πανδημία COVID-19 και αθλητισμός</w:t>
      </w:r>
    </w:p>
    <w:p w14:paraId="1B64AB3D"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Στις 22 Ιουνίου 2020, το Συμβούλιο ενέκρινε τα συμπεράσματά του σχετικά με τις επιπτώσεις της πανδημίας COVID-19 στον τομέα του αθλητισμού, προτείνοντας διάφορα μέτρα για την ανάκαμψή του. Στο έγγραφο επισημαίνεται ο τρόπος με τον οποίο επλήγη σοβαρά ολόκληρος ο τομέας -μεταξύ άλλων και από οικονομική άποψη- δεδομένου ότι η πανδημία είχε καταστροφικές συνέπειες για τις αθλητικές δραστηριότητες σε όλα τα επίπεδα. Το Συμβούλιο επισήμανε πόσο αναγκαίες είναι οι στρατηγικές εξόδου και επανεκκίνησης μετά την πανδημία </w:t>
      </w:r>
      <w:r>
        <w:rPr>
          <w:rFonts w:asciiTheme="minorHAnsi" w:eastAsia="Calibri" w:hAnsiTheme="minorHAnsi" w:cstheme="minorHAnsi"/>
          <w:sz w:val="24"/>
          <w:szCs w:val="24"/>
          <w:lang w:eastAsia="en-US"/>
        </w:rPr>
        <w:lastRenderedPageBreak/>
        <w:t xml:space="preserve">σε τοπικό, εθνικό, περιφερειακό και </w:t>
      </w:r>
      <w:proofErr w:type="spellStart"/>
      <w:r>
        <w:rPr>
          <w:rFonts w:asciiTheme="minorHAnsi" w:eastAsia="Calibri" w:hAnsiTheme="minorHAnsi" w:cstheme="minorHAnsi"/>
          <w:sz w:val="24"/>
          <w:szCs w:val="24"/>
          <w:lang w:eastAsia="en-US"/>
        </w:rPr>
        <w:t>ενωσιακό</w:t>
      </w:r>
      <w:proofErr w:type="spellEnd"/>
      <w:r>
        <w:rPr>
          <w:rFonts w:asciiTheme="minorHAnsi" w:eastAsia="Calibri" w:hAnsiTheme="minorHAnsi" w:cstheme="minorHAnsi"/>
          <w:sz w:val="24"/>
          <w:szCs w:val="24"/>
          <w:lang w:eastAsia="en-US"/>
        </w:rPr>
        <w:t xml:space="preserve"> επίπεδο προκειμένου να υποστηριχθεί ο αθλητισμός και να διαφυλαχθεί η σημαντική συμβολή του στην ευημερία των πολιτών της ΕΕ. Μεταξύ άλλων, το Συμβούλιο προέτρεψε τα θεσμικά όργανα της Ένωσης να πλαισιώσουν τις εθνικές προσπάθειες διοχετεύοντας χρηματοδοτική στήριξη στον τομέα μέσω διαθέσιμων προγραμμάτων και ταμείων της ΕΕ, όπως είναι το </w:t>
      </w:r>
      <w:proofErr w:type="spellStart"/>
      <w:r>
        <w:rPr>
          <w:rFonts w:asciiTheme="minorHAnsi" w:eastAsia="Calibri" w:hAnsiTheme="minorHAnsi" w:cstheme="minorHAnsi"/>
          <w:sz w:val="24"/>
          <w:szCs w:val="24"/>
          <w:lang w:eastAsia="en-US"/>
        </w:rPr>
        <w:t>Erasmus</w:t>
      </w:r>
      <w:proofErr w:type="spellEnd"/>
      <w:r>
        <w:rPr>
          <w:rFonts w:asciiTheme="minorHAnsi" w:eastAsia="Calibri" w:hAnsiTheme="minorHAnsi" w:cstheme="minorHAnsi"/>
          <w:sz w:val="24"/>
          <w:szCs w:val="24"/>
          <w:lang w:eastAsia="en-US"/>
        </w:rPr>
        <w:t xml:space="preserve">+, το Ευρωπαϊκό Σώμα Αλληλεγγύης, τα ταμεία της πολιτικής συνοχής και οι επενδυτικές πρωτοβουλίες για την αντιμετώπιση του </w:t>
      </w:r>
      <w:proofErr w:type="spellStart"/>
      <w:r>
        <w:rPr>
          <w:rFonts w:asciiTheme="minorHAnsi" w:eastAsia="Calibri" w:hAnsiTheme="minorHAnsi" w:cstheme="minorHAnsi"/>
          <w:sz w:val="24"/>
          <w:szCs w:val="24"/>
          <w:lang w:eastAsia="en-US"/>
        </w:rPr>
        <w:t>κορονοϊού</w:t>
      </w:r>
      <w:proofErr w:type="spellEnd"/>
      <w:r>
        <w:rPr>
          <w:rFonts w:asciiTheme="minorHAnsi" w:eastAsia="Calibri" w:hAnsiTheme="minorHAnsi" w:cstheme="minorHAnsi"/>
          <w:sz w:val="24"/>
          <w:szCs w:val="24"/>
          <w:lang w:eastAsia="en-US"/>
        </w:rPr>
        <w:t xml:space="preserve"> (CRII, CRII+). Επιπλέον, το Συμβούλιο τόνισε την ανάγκη να προωθηθεί ο διάλογος μεταξύ των κρατών μελών και των εμπλεκόμενων φορέων ώστε να τεθούν επί τάπητος εκείνες οι στρατηγικές που θα επιτρέψουν την επανέναρξη των αθλητικών δραστηριοτήτων κατά τρόπο ασφαλή και – όπου είναι δυνατόν – συντονισμένο, και θα αποτρέψουν μελλοντικές κρίσεις, ενισχύοντας την ανθεκτικότητα του αθλητικού τομέα της ΕΕ.</w:t>
      </w:r>
    </w:p>
    <w:p w14:paraId="000A0301"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Την 1η Δεκεμβρίου 2020, οι υπουργοί Αθλητισμού της ΕΕ πραγματοποίησαν διάσκεψη με θέμα τις τρέχουσες προκλήσεις που αντιμετωπίζουν οι διοργανώσεις διεθνών αθλητικών εκδηλώσεων. Λόγω της πανδημίας COVID-19, η ελεύθερη κυκλοφορία των αθλητών παρεμποδίζεται από διάφορους, διαρκώς μεταβαλλόμενους εθνικούς κανόνες και πολιτικές διαχείρισής της. Η συζήτηση κατέδειξε την ανάγκη περαιτέρω ανταλλαγών και συνεργασίας σε επίπεδο ΕΕ στον τομέα του αθλητισμού.</w:t>
      </w:r>
    </w:p>
    <w:p w14:paraId="1B21E78D" w14:textId="77777777" w:rsidR="002A2422" w:rsidRDefault="003B3AD7">
      <w:pPr>
        <w:spacing w:before="60" w:after="60"/>
        <w:rPr>
          <w:bCs/>
          <w:lang w:eastAsia="en-US"/>
        </w:rPr>
      </w:pPr>
      <w:r>
        <w:rPr>
          <w:rFonts w:asciiTheme="minorHAnsi" w:eastAsia="Calibri" w:hAnsiTheme="minorHAnsi" w:cstheme="minorHAnsi"/>
          <w:bCs/>
          <w:sz w:val="24"/>
          <w:szCs w:val="24"/>
          <w:lang w:eastAsia="en-US"/>
        </w:rPr>
        <w:t>Στις 10 Φεβρουαρίου 2021, το Κοινοβούλιο ενέκρινε ψήφισμα στο οποίο τονίζεται η ανάγκη να παρασχεθεί στα κράτη μέλη οικονομική, στρατηγική και πρακτική στήριξη, προκειμένου να μην υπάρξουν μακροχρόνιες επιπτώσεις της πανδημίας στους νέους και στον αθλητισμό. Το ψήφισμα τονίζει ότι η χρηματοδοτική ενίσχυση δεν πρέπει να περιοριστεί στις αθλητικές διοργανώσεις που προσελκύουν τους περισσότερους θεατές και ότι είναι υψίστης σημασίας να ληφθούν μέτρα ανάκαμψης για τον μαζικό αθλητισμό. Ζητήθηκε εξάλλου από την Επιτροπή να διαμορφώσει μια ευρωπαϊκή προσέγγιση για την αντιμετώπιση των αρνητικών επιπτώσεων της πανδημίας στον τομέα του αθλητισμού.</w:t>
      </w:r>
    </w:p>
    <w:p w14:paraId="7EBCC9D0" w14:textId="77777777" w:rsidR="002A2422" w:rsidRDefault="003B3AD7">
      <w:pPr>
        <w:pStyle w:val="3"/>
        <w:rPr>
          <w:lang w:eastAsia="en-US"/>
        </w:rPr>
      </w:pPr>
      <w:bookmarkStart w:id="22" w:name="_Toc73665473"/>
      <w:bookmarkStart w:id="23" w:name="_Toc68011185"/>
      <w:r>
        <w:rPr>
          <w:lang w:eastAsia="en-US"/>
        </w:rPr>
        <w:lastRenderedPageBreak/>
        <w:t>Εθνική Πολιτική και Στρατηγικές</w:t>
      </w:r>
      <w:bookmarkEnd w:id="22"/>
      <w:bookmarkEnd w:id="23"/>
      <w:r>
        <w:rPr>
          <w:lang w:eastAsia="en-US"/>
        </w:rPr>
        <w:t xml:space="preserve"> </w:t>
      </w:r>
    </w:p>
    <w:p w14:paraId="2B9723E1"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Ο Πολιτισμός &amp; ο Τουρισμός, αποτελεί συγκριτικό πλεονέκτημα για την Ελλάδα, και μέσα από τη χρήση και αξιοποίηση των τεχνολογιών Πληροφορικής και Επικοινωνιών, την έξυπνη εξειδίκευση και την καινοτομία μπορεί να οδηγηθεί προς την έξυπνη ανάπτυξη. Επιπρόσθετα, ο Τομέας του Πολιτισμού αποτελεί  σημαντική και διακριτή προτεραιότητα στο πλαίσιο της νέας αναπτυξιακής στρατηγικής 2021 -  2027, καθώς στην  Ελλάδα υφίσταται τεράστιο αναξιοποίητο δυναμικό που χρήζει, προστασίας, ανάδειξης, προβολής και ενσωμάτωσης στο κοινωνικοοικονομικό γίγνεσθαι. </w:t>
      </w:r>
    </w:p>
    <w:p w14:paraId="60483731"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Κατά την προγραμματική περίοδο 2014-2020, το </w:t>
      </w:r>
      <w:r>
        <w:rPr>
          <w:rFonts w:asciiTheme="minorHAnsi" w:eastAsia="Calibri" w:hAnsiTheme="minorHAnsi" w:cstheme="minorHAnsi"/>
          <w:b/>
          <w:bCs/>
          <w:sz w:val="24"/>
          <w:szCs w:val="24"/>
          <w:lang w:eastAsia="en-US"/>
        </w:rPr>
        <w:t>ΕΣΠΑ</w:t>
      </w:r>
      <w:r>
        <w:rPr>
          <w:rFonts w:asciiTheme="minorHAnsi" w:eastAsia="Calibri" w:hAnsiTheme="minorHAnsi" w:cstheme="minorHAnsi"/>
          <w:sz w:val="24"/>
          <w:szCs w:val="24"/>
          <w:lang w:eastAsia="en-US"/>
        </w:rPr>
        <w:t xml:space="preserve"> αποτέλεσε και αποτελεί το βασικό στρατηγικό σχέδιο για την ανάπτυξη της χώρας, με τη συνδρομή σημαντικών πόρων που προέρχονται από τα Ευρωπαϊκά Διαρθρωτικά και Επενδυτικά Ταμεία (ΕΔΕΤ) της Ευρωπαϊκής Ένωσης.</w:t>
      </w:r>
    </w:p>
    <w:p w14:paraId="4D7A4571"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Το </w:t>
      </w:r>
      <w:r>
        <w:rPr>
          <w:rFonts w:asciiTheme="minorHAnsi" w:eastAsia="Calibri" w:hAnsiTheme="minorHAnsi" w:cstheme="minorHAnsi"/>
          <w:b/>
          <w:bCs/>
          <w:sz w:val="24"/>
          <w:szCs w:val="24"/>
          <w:lang w:eastAsia="en-US"/>
        </w:rPr>
        <w:t>Τομεακό Επιχειρησιακό Πρόγραμμα ΕΠ Ανταγωνιστικότητα, Επιχειρηματικότητα και Καινοτομία</w:t>
      </w:r>
      <w:r>
        <w:rPr>
          <w:rFonts w:asciiTheme="minorHAnsi" w:eastAsia="Calibri" w:hAnsiTheme="minorHAnsi" w:cstheme="minorHAnsi"/>
          <w:sz w:val="24"/>
          <w:szCs w:val="24"/>
          <w:lang w:eastAsia="en-US"/>
        </w:rPr>
        <w:t xml:space="preserve"> του ΕΣΠΑ 2014-2020 στον τομέα του πολιτισμού, εστιάζει στην ανάπτυξη υποδομών προστασίας και αξιοποίησης του φυσικού κεφαλαίου και της πολιτιστικής κληρονομιάς, μέσα από την ανάπτυξη μηχανισμών στήριξης της επιχειρηματικότητας. </w:t>
      </w:r>
    </w:p>
    <w:p w14:paraId="66C6D671"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Παράλληλα, τα </w:t>
      </w:r>
      <w:r>
        <w:rPr>
          <w:rFonts w:asciiTheme="minorHAnsi" w:eastAsia="Calibri" w:hAnsiTheme="minorHAnsi" w:cstheme="minorHAnsi"/>
          <w:b/>
          <w:bCs/>
          <w:sz w:val="24"/>
          <w:szCs w:val="24"/>
          <w:lang w:eastAsia="en-US"/>
        </w:rPr>
        <w:t>Περιφερειακά Επιχειρησιακά Σχέδια</w:t>
      </w:r>
      <w:r>
        <w:rPr>
          <w:rFonts w:asciiTheme="minorHAnsi" w:eastAsia="Calibri" w:hAnsiTheme="minorHAnsi" w:cstheme="minorHAnsi"/>
          <w:sz w:val="24"/>
          <w:szCs w:val="24"/>
          <w:lang w:eastAsia="en-US"/>
        </w:rPr>
        <w:t xml:space="preserve"> (ΠΕΠ) των δεκατριών Περιφερειών της Χώρας, αποτυπώνουν την υφιστάμενη κατάσταση και τον σχεδιασμό στον Τομέα του Πολιτισμού. </w:t>
      </w:r>
    </w:p>
    <w:p w14:paraId="751D9772"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Ο τομέας Πολιτισμός - Τουρισμός - Πολιτιστικές &amp; Δημιουργικές Βιομηχανίες (ΠΔΒ) προσδιορίστηκε (στο πλαίσιο τομεακής ομάδας σχεδιασμού /ΤΟΣ για το </w:t>
      </w:r>
      <w:proofErr w:type="spellStart"/>
      <w:r>
        <w:rPr>
          <w:rFonts w:asciiTheme="minorHAnsi" w:eastAsia="Calibri" w:hAnsiTheme="minorHAnsi" w:cstheme="minorHAnsi"/>
          <w:sz w:val="24"/>
          <w:szCs w:val="24"/>
          <w:lang w:eastAsia="en-US"/>
        </w:rPr>
        <w:t>ΕΠΑνΕΚ</w:t>
      </w:r>
      <w:proofErr w:type="spellEnd"/>
      <w:r>
        <w:rPr>
          <w:rFonts w:asciiTheme="minorHAnsi" w:eastAsia="Calibri" w:hAnsiTheme="minorHAnsi" w:cstheme="minorHAnsi"/>
          <w:sz w:val="24"/>
          <w:szCs w:val="24"/>
          <w:lang w:eastAsia="en-US"/>
        </w:rPr>
        <w:t>) με βάση την σημαντική υπεραξία που δημιουργεί σε οιαδήποτε οικονομική δραστηριότητα της χώρας.</w:t>
      </w:r>
    </w:p>
    <w:p w14:paraId="0B47EDEC"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Ο Τομέας του Πολιτισμού, χαρακτηρίζεται ως ανερχόμενος παραγωγικός κλάδος, με ιδιαίτερη δυναμική στις δημιουργικές βιομηχανίες, καθώς  νέοι επιστήμονες πολλαπλών θεματικών πεδίων εμπνέονται  από το πλούσιο πολιτιστικό απόθεμα και το αναδεικνύουν με δημιουργικό τρόπο ενισχύοντας στην εθνική εξωστρέφεια. </w:t>
      </w:r>
    </w:p>
    <w:p w14:paraId="617F33CD"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lastRenderedPageBreak/>
        <w:t>Η ‘σύμπραξη’ της Έρευνας, Τεχνολογικής Ανάπτυξης και Καινοτομίας (ΕΤΑΚ) με τον τομέα του Πολιτισμού, μπορεί μέσα από την αξιοποίηση των ερευνητικών αποτελεσμάτων και του επιστημονικού και τεχνικού δυναμικού της χώρας να αναπτύξει διεθνώς ανταγωνιστικά, προηγμένα προϊόντα και υπηρεσίες, βασισμένα στις νέες τεχνολογίες αιχμής για το σύμπλεγμα ‘Πολιτισμός – Τουρισμός – Πολιτιστικές &amp; Δημιουργικές Βιομηχανίες (ΠΔΒ)’ .</w:t>
      </w:r>
    </w:p>
    <w:p w14:paraId="67F31ABC"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Οι παραγωγικοί ανταγωνιστικοί και εν δυνάμει εξωστρεφείς κλάδοι, όπως ο Πολιτισμός και ο Τουρισμός, αποκτούν κεντρικό ρόλο και σημαντικό μερίδιο στην κατανομή πόρων και επενδύσεων στο πλαίσιο της Στρατηγικής Έξυπνης Εξειδίκευσης. </w:t>
      </w:r>
    </w:p>
    <w:p w14:paraId="74558146"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Στόχο αποτελεί η αύξηση των μεγεθών της προσφοράς, η εισαγωγή καινοτομιών και νέων προϊόντων και υπηρεσιών που αξιοποιούν τα ιδιαίτερα χαρακτηριστικά και ενισχύουν ή και δημιουργούν νέα ανταγωνιστικά πλεονεκτήματα στη χώρα και στις επιμέρους περιφέρειες και τα οποία ενσωματώνουν γνώση, παράγοντας προϊόντα και υπηρεσίες υψηλότερης προστιθέμενης αξίας και ανταγωνιστικά σε παγκόσμιο επίπεδο. </w:t>
      </w:r>
    </w:p>
    <w:p w14:paraId="0F4D589D"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Μέσω της ανάδειξης και αξιοποίησης της πολιτιστικής κληρονομιάς, η δημιουργική βιομηχανία και ο κλάδος των ΤΠΕ  διαθέτει όλα τα ώριμα χαρακτηριστικά -  (τεχνογνωσία, ανθρώπινο δυναμικό, </w:t>
      </w:r>
      <w:proofErr w:type="spellStart"/>
      <w:r>
        <w:rPr>
          <w:rFonts w:asciiTheme="minorHAnsi" w:eastAsia="Calibri" w:hAnsiTheme="minorHAnsi" w:cstheme="minorHAnsi"/>
          <w:sz w:val="24"/>
          <w:szCs w:val="24"/>
          <w:lang w:eastAsia="en-US"/>
        </w:rPr>
        <w:t>γεωστρατηγική</w:t>
      </w:r>
      <w:proofErr w:type="spellEnd"/>
      <w:r>
        <w:rPr>
          <w:rFonts w:asciiTheme="minorHAnsi" w:eastAsia="Calibri" w:hAnsiTheme="minorHAnsi" w:cstheme="minorHAnsi"/>
          <w:sz w:val="24"/>
          <w:szCs w:val="24"/>
          <w:lang w:eastAsia="en-US"/>
        </w:rPr>
        <w:t xml:space="preserve"> θέση) και συγκεντρώνει τα συγκριτικά ‘άυλα’ πλεονεκτήματα της Ελλάδας, τα οποία  μπορούν να αξιοποιηθούν για την ανάπτυξη νέων επιχειρηματικών δραστηριοτήτων με απώτερο στόχο την παραγωγή πλούτου και υψηλής προστιθέμενης αξίας στη χώρα. </w:t>
      </w:r>
    </w:p>
    <w:p w14:paraId="254D2E04"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Στον τομέα του αθλητισμού δεν υφίστανται προγράμματα ΕΣΠΑ που να καλύπτουν αναπτυξιακά προγράμματα της Γενικής Γραμματείας Αθλητισμού. Όλα τα έργα αναφορικά με την ανάπτυξη των υποδομών καλύπτονται από το Πρόγραμμα Δημοσίων Επενδύσεων, το οποίο διαμορφώνεται κατόπιν πρότασης του Υφυπουργού προς το Υπουργείο Ανάπτυξης, σταθμίζοντας τα αιτήματα των ΟΤΑ Α’ και Β’ Βαθμού, καθώς και των αθλητικών φορέων. Επιπλέον σημαντικό μοχλό ανάπτυξης αποτελεί και το Πρόγραμμα «Αντώνης Τρίτσης», του Υπουργείου Εσωτερικών, στο οποίο το Υφυπουργείο Αθλητισμού παρέχει σύμφωνη γνώμη για την έγκριση της χρηματοδότησης των έργων αναφορικά με τις υποδομές.</w:t>
      </w:r>
    </w:p>
    <w:p w14:paraId="1CEB2506" w14:textId="77777777" w:rsidR="002A2422" w:rsidRDefault="002A2422">
      <w:pPr>
        <w:spacing w:before="60" w:after="60"/>
        <w:rPr>
          <w:rFonts w:asciiTheme="minorHAnsi" w:eastAsia="Calibri" w:hAnsiTheme="minorHAnsi" w:cstheme="minorHAnsi"/>
          <w:sz w:val="24"/>
          <w:szCs w:val="24"/>
          <w:lang w:eastAsia="en-US"/>
        </w:rPr>
      </w:pPr>
    </w:p>
    <w:p w14:paraId="03F81B4B" w14:textId="77777777" w:rsidR="002A2422" w:rsidRDefault="003B3AD7">
      <w:pPr>
        <w:pStyle w:val="3"/>
        <w:rPr>
          <w:lang w:eastAsia="en-US"/>
        </w:rPr>
      </w:pPr>
      <w:bookmarkStart w:id="24" w:name="_Toc73665474"/>
      <w:bookmarkStart w:id="25" w:name="_Toc68011186"/>
      <w:r>
        <w:rPr>
          <w:lang w:eastAsia="en-US"/>
        </w:rPr>
        <w:t>Εθνικό Πρόγραμμα Ανάπτυξης (ΕΠΑ)</w:t>
      </w:r>
      <w:bookmarkEnd w:id="24"/>
      <w:bookmarkEnd w:id="25"/>
    </w:p>
    <w:p w14:paraId="603BC3FE"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Ο απώτερος στόχος οικονομικής πολιτικής είναι η εξασφάλιση της βιώσιμης ανάπτυξης της χώρας, με μέγιστη δυνατή σύγκλιση των περιφερειών, την πληρέστερη δυνατή αξιοποίηση των συγκριτικών πλεονεκτημάτων της χώρας και διασφάλιση της κοινωνικής συνοχής και της προστασίας του περιβάλλοντος. Για την επίτευξη των παραπάνω, απαιτείται αλλαγή του παραγωγικού υποδείγματος της οικονομίας που να διασφαλίζει τη βιωσιμότητα της ανάπτυξης και της κοινωνικής ευημερίας απέναντι σε μεγάλες προκλήσεις και απροσδόκητες εξελίξεις.</w:t>
      </w:r>
    </w:p>
    <w:p w14:paraId="6FDAC681"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Σε αυτή την κατεύθυνση, οι αναπτυξιακοί στόχοι του ΕΠΑ αναπτύσσονται σε πέντε πυλώνες: Έξυπνη Ανάπτυξη, Πράσινη Ανάπτυξη, Κοινωνική Ανάπτυξη, Ανάπτυξη Υποδομών και Εξωστρέφεια. Η επίτευξη μιας ισχυρής και διατηρήσιμης ανάπτυξης στο σύνολο της οικονομίας της χώρας, απαιτεί την ισορροπημένη μεγέθυνση και στους πέντε πυλώνες. Επιπλέον, αναγκαίες είναι η εξειδίκευση, η </w:t>
      </w:r>
      <w:proofErr w:type="spellStart"/>
      <w:r>
        <w:rPr>
          <w:rFonts w:asciiTheme="minorHAnsi" w:eastAsia="Calibri" w:hAnsiTheme="minorHAnsi" w:cstheme="minorHAnsi"/>
          <w:sz w:val="24"/>
          <w:szCs w:val="24"/>
          <w:lang w:eastAsia="en-US"/>
        </w:rPr>
        <w:t>προτεραιοποίηση</w:t>
      </w:r>
      <w:proofErr w:type="spellEnd"/>
      <w:r>
        <w:rPr>
          <w:rFonts w:asciiTheme="minorHAnsi" w:eastAsia="Calibri" w:hAnsiTheme="minorHAnsi" w:cstheme="minorHAnsi"/>
          <w:sz w:val="24"/>
          <w:szCs w:val="24"/>
          <w:lang w:eastAsia="en-US"/>
        </w:rPr>
        <w:t xml:space="preserve"> και η ιεράρχηση των επενδυτικών έργων εντός κάθε πυλώνα, με βάση τη δυνατότητά τους να συνεισφέρουν στην επίτευξη των αναπτυξιακών στόχων.</w:t>
      </w:r>
    </w:p>
    <w:p w14:paraId="36FE3DE5"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Βασική προϋπόθεση για την επιτυχία των ανωτέρω, είναι η ύπαρξη αναβαθμισμένης διοικητικής υποστήριξης σε όλα τα επίπεδα προγραμματισμού, υλοποίησης, παρακολούθησης και ελέγχου. </w:t>
      </w:r>
    </w:p>
    <w:p w14:paraId="52995DEC"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Αναλυτικά, οι αναπτυξιακοί στόχοι και οι ειδικότερες αναφορές στον πολιτισμό και τον αθλητισμό, έχουν ως εξής:</w:t>
      </w:r>
    </w:p>
    <w:p w14:paraId="60B4F781" w14:textId="77777777" w:rsidR="002A2422" w:rsidRDefault="003B3AD7">
      <w:pPr>
        <w:pStyle w:val="4"/>
      </w:pPr>
      <w:bookmarkStart w:id="26" w:name="_Toc68011187"/>
      <w:r>
        <w:t>Έξυπνη Ανάπτυξη</w:t>
      </w:r>
      <w:bookmarkEnd w:id="26"/>
    </w:p>
    <w:p w14:paraId="198808BA"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Οι ταχύτατες τεχνολογικές εξελίξεις έχουν μεταβάλει τα πρότυπα παραγωγής προϊόντων και υπηρεσιών παγκοσμίως. Για να παραμείνει μια οικονομία ανταγωνιστική, απαιτείται η ενεργή της συμμετοχή στην παραγωγή νέας έρευνας και τεχνολογικής ανάπτυξης. Απαιτείται επίσης και η προσαρμογή των παραγωγικών διαδικασιών στην οικονομία, μέσα από την αφομοίωση των νέων τεχνολογιών στην κατασκευή καινοτόμων προϊόντων και υπηρεσιών.</w:t>
      </w:r>
    </w:p>
    <w:p w14:paraId="12C37A86"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Τέλος, η εξάπλωση των νέων τεχνολογιών είναι απαραίτητη και στη δημόσια διοίκηση, αυξάνοντας σημαντικά την αποτελεσματικότητα του έργου που παράγει.</w:t>
      </w:r>
    </w:p>
    <w:p w14:paraId="70402DEF"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lastRenderedPageBreak/>
        <w:t>Ο</w:t>
      </w:r>
      <w:r>
        <w:rPr>
          <w:rFonts w:asciiTheme="minorHAnsi" w:eastAsia="Calibri" w:hAnsiTheme="minorHAnsi" w:cstheme="minorHAnsi"/>
          <w:sz w:val="24"/>
          <w:szCs w:val="24"/>
          <w:u w:val="single"/>
          <w:lang w:eastAsia="en-US"/>
        </w:rPr>
        <w:t xml:space="preserve"> στόχος</w:t>
      </w:r>
      <w:r>
        <w:rPr>
          <w:rFonts w:asciiTheme="minorHAnsi" w:eastAsia="Calibri" w:hAnsiTheme="minorHAnsi" w:cstheme="minorHAnsi"/>
          <w:sz w:val="24"/>
          <w:szCs w:val="24"/>
          <w:lang w:eastAsia="en-US"/>
        </w:rPr>
        <w:t xml:space="preserve"> της έξυπνης ανάπτυξης εξειδικεύεται στους εξής τρεις ειδικούς στόχους:</w:t>
      </w:r>
    </w:p>
    <w:p w14:paraId="692F200F" w14:textId="77777777" w:rsidR="002A2422" w:rsidRDefault="003B3AD7">
      <w:pPr>
        <w:numPr>
          <w:ilvl w:val="0"/>
          <w:numId w:val="3"/>
        </w:numPr>
        <w:spacing w:before="60" w:after="60"/>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Έρευνα και τεχνολογική ανάπτυξη</w:t>
      </w:r>
    </w:p>
    <w:p w14:paraId="4FEDD190" w14:textId="77777777" w:rsidR="002A2422" w:rsidRDefault="003B3AD7">
      <w:pPr>
        <w:numPr>
          <w:ilvl w:val="0"/>
          <w:numId w:val="3"/>
        </w:numPr>
        <w:spacing w:before="60" w:after="60"/>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Καινοτομία και επιχειρηματικότητα</w:t>
      </w:r>
    </w:p>
    <w:p w14:paraId="718D73A6" w14:textId="77777777" w:rsidR="002A2422" w:rsidRDefault="003B3AD7">
      <w:pPr>
        <w:numPr>
          <w:ilvl w:val="0"/>
          <w:numId w:val="3"/>
        </w:numPr>
        <w:spacing w:before="60" w:after="60"/>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Ψηφιακός μετασχηματισμός</w:t>
      </w:r>
    </w:p>
    <w:p w14:paraId="5A9AAE8D"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Αναδεικνύονται έντεκα προτεραιότητες που καλούνται να εξυπηρετήσουν τους τρείς ειδικούς στόχους της έξυπνης ανάπτυξης.</w:t>
      </w:r>
    </w:p>
    <w:p w14:paraId="7B272BD0"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Από αυτές, οι βασικές προτεραιότητες  που αφορούν στον πολιτισμό και στον αθλητισμό είναι α) η δημιουργία επιλεγμένων κεντρικών ερευνητικών κέντρων και προγραμμάτων σε τομείς αιχμής και  β) η δημόσια διοίκηση και </w:t>
      </w:r>
      <w:proofErr w:type="spellStart"/>
      <w:r>
        <w:rPr>
          <w:rFonts w:asciiTheme="minorHAnsi" w:eastAsia="Calibri" w:hAnsiTheme="minorHAnsi" w:cstheme="minorHAnsi"/>
          <w:sz w:val="24"/>
          <w:szCs w:val="24"/>
          <w:lang w:eastAsia="en-US"/>
        </w:rPr>
        <w:t>ψηφιοποίηση</w:t>
      </w:r>
      <w:proofErr w:type="spellEnd"/>
      <w:r>
        <w:rPr>
          <w:rFonts w:asciiTheme="minorHAnsi" w:eastAsia="Calibri" w:hAnsiTheme="minorHAnsi" w:cstheme="minorHAnsi"/>
          <w:sz w:val="24"/>
          <w:szCs w:val="24"/>
          <w:lang w:eastAsia="en-US"/>
        </w:rPr>
        <w:t>.</w:t>
      </w:r>
    </w:p>
    <w:p w14:paraId="28C8CD8A" w14:textId="77777777" w:rsidR="002A2422" w:rsidRDefault="002A2422">
      <w:pPr>
        <w:spacing w:before="60" w:after="60"/>
        <w:rPr>
          <w:rFonts w:asciiTheme="minorHAnsi" w:eastAsia="Calibri" w:hAnsiTheme="minorHAnsi" w:cstheme="minorHAnsi"/>
          <w:sz w:val="24"/>
          <w:szCs w:val="24"/>
          <w:lang w:eastAsia="en-US"/>
        </w:rPr>
      </w:pPr>
    </w:p>
    <w:p w14:paraId="3A81EE17" w14:textId="77777777" w:rsidR="002A2422" w:rsidRDefault="002A2422">
      <w:pPr>
        <w:spacing w:before="60" w:after="60"/>
        <w:rPr>
          <w:rFonts w:asciiTheme="minorHAnsi" w:eastAsia="Calibri" w:hAnsiTheme="minorHAnsi" w:cstheme="minorHAnsi"/>
          <w:sz w:val="24"/>
          <w:szCs w:val="24"/>
          <w:lang w:eastAsia="en-US"/>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8"/>
        <w:gridCol w:w="575"/>
        <w:gridCol w:w="575"/>
        <w:gridCol w:w="708"/>
        <w:gridCol w:w="523"/>
        <w:gridCol w:w="523"/>
        <w:gridCol w:w="705"/>
        <w:gridCol w:w="575"/>
        <w:gridCol w:w="728"/>
        <w:gridCol w:w="473"/>
        <w:gridCol w:w="523"/>
        <w:gridCol w:w="523"/>
        <w:gridCol w:w="523"/>
        <w:gridCol w:w="523"/>
      </w:tblGrid>
      <w:tr w:rsidR="002A2422" w14:paraId="1E01DB1A" w14:textId="77777777">
        <w:trPr>
          <w:trHeight w:val="90"/>
          <w:jc w:val="center"/>
        </w:trPr>
        <w:tc>
          <w:tcPr>
            <w:tcW w:w="3958" w:type="dxa"/>
            <w:vMerge w:val="restart"/>
            <w:shd w:val="clear" w:color="auto" w:fill="auto"/>
            <w:noWrap/>
          </w:tcPr>
          <w:p w14:paraId="2597C2B9"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Προτεραιότητες και ενδεικτικά έργα</w:t>
            </w:r>
          </w:p>
        </w:tc>
        <w:tc>
          <w:tcPr>
            <w:tcW w:w="1858" w:type="dxa"/>
            <w:gridSpan w:val="3"/>
            <w:shd w:val="clear" w:color="auto" w:fill="auto"/>
            <w:noWrap/>
            <w:vAlign w:val="bottom"/>
          </w:tcPr>
          <w:p w14:paraId="4A15E8EE"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Ειδικοί στόχοι</w:t>
            </w:r>
          </w:p>
        </w:tc>
        <w:tc>
          <w:tcPr>
            <w:tcW w:w="4050" w:type="dxa"/>
            <w:gridSpan w:val="7"/>
            <w:shd w:val="clear" w:color="auto" w:fill="auto"/>
            <w:noWrap/>
            <w:vAlign w:val="bottom"/>
          </w:tcPr>
          <w:p w14:paraId="4595D55E"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Λοιπές προκλήσεις</w:t>
            </w:r>
          </w:p>
        </w:tc>
        <w:tc>
          <w:tcPr>
            <w:tcW w:w="1569" w:type="dxa"/>
            <w:gridSpan w:val="3"/>
            <w:shd w:val="clear" w:color="auto" w:fill="auto"/>
            <w:noWrap/>
            <w:vAlign w:val="bottom"/>
          </w:tcPr>
          <w:p w14:paraId="20274800"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Δυνατότητες</w:t>
            </w:r>
          </w:p>
        </w:tc>
      </w:tr>
      <w:tr w:rsidR="002A2422" w14:paraId="7315A91B" w14:textId="77777777">
        <w:trPr>
          <w:trHeight w:val="2975"/>
          <w:jc w:val="center"/>
        </w:trPr>
        <w:tc>
          <w:tcPr>
            <w:tcW w:w="3958" w:type="dxa"/>
            <w:vMerge/>
            <w:vAlign w:val="center"/>
          </w:tcPr>
          <w:p w14:paraId="483F49A3" w14:textId="77777777" w:rsidR="002A2422" w:rsidRDefault="002A2422">
            <w:pPr>
              <w:spacing w:line="240" w:lineRule="auto"/>
              <w:rPr>
                <w:rFonts w:asciiTheme="minorHAnsi" w:eastAsia="Times New Roman" w:hAnsiTheme="minorHAnsi" w:cstheme="minorHAnsi"/>
                <w:color w:val="000000"/>
                <w:sz w:val="20"/>
                <w:szCs w:val="20"/>
              </w:rPr>
            </w:pPr>
          </w:p>
        </w:tc>
        <w:tc>
          <w:tcPr>
            <w:tcW w:w="575" w:type="dxa"/>
            <w:shd w:val="clear" w:color="auto" w:fill="auto"/>
            <w:noWrap/>
            <w:textDirection w:val="btLr"/>
            <w:vAlign w:val="bottom"/>
          </w:tcPr>
          <w:p w14:paraId="3EF8E036"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Έρευνα και ανάπτυξη</w:t>
            </w:r>
          </w:p>
        </w:tc>
        <w:tc>
          <w:tcPr>
            <w:tcW w:w="575" w:type="dxa"/>
            <w:shd w:val="clear" w:color="auto" w:fill="auto"/>
            <w:noWrap/>
            <w:textDirection w:val="btLr"/>
            <w:vAlign w:val="bottom"/>
          </w:tcPr>
          <w:p w14:paraId="6CBE43F7"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Ψηφιακός Ανασχηματισμός</w:t>
            </w:r>
          </w:p>
        </w:tc>
        <w:tc>
          <w:tcPr>
            <w:tcW w:w="708" w:type="dxa"/>
            <w:shd w:val="clear" w:color="auto" w:fill="auto"/>
            <w:noWrap/>
            <w:textDirection w:val="btLr"/>
            <w:vAlign w:val="bottom"/>
          </w:tcPr>
          <w:p w14:paraId="5A425E7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Καινοτομία και επιχειρηματικότητα</w:t>
            </w:r>
          </w:p>
        </w:tc>
        <w:tc>
          <w:tcPr>
            <w:tcW w:w="523" w:type="dxa"/>
            <w:shd w:val="clear" w:color="auto" w:fill="auto"/>
            <w:noWrap/>
            <w:textDirection w:val="btLr"/>
            <w:vAlign w:val="bottom"/>
          </w:tcPr>
          <w:p w14:paraId="3F2E6E91"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Κοινωνικές συνέπειες</w:t>
            </w:r>
          </w:p>
        </w:tc>
        <w:tc>
          <w:tcPr>
            <w:tcW w:w="523" w:type="dxa"/>
            <w:shd w:val="clear" w:color="auto" w:fill="auto"/>
            <w:noWrap/>
            <w:textDirection w:val="btLr"/>
            <w:vAlign w:val="bottom"/>
          </w:tcPr>
          <w:p w14:paraId="73549620"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Δημοσιονομική πειθαρχία</w:t>
            </w:r>
          </w:p>
        </w:tc>
        <w:tc>
          <w:tcPr>
            <w:tcW w:w="705" w:type="dxa"/>
            <w:shd w:val="clear" w:color="auto" w:fill="auto"/>
            <w:noWrap/>
            <w:textDirection w:val="btLr"/>
            <w:vAlign w:val="bottom"/>
          </w:tcPr>
          <w:p w14:paraId="0F104795"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Αλλαγή παραγωγικού υποδείγματος</w:t>
            </w:r>
          </w:p>
        </w:tc>
        <w:tc>
          <w:tcPr>
            <w:tcW w:w="575" w:type="dxa"/>
            <w:shd w:val="clear" w:color="auto" w:fill="auto"/>
            <w:noWrap/>
            <w:textDirection w:val="btLr"/>
            <w:vAlign w:val="bottom"/>
          </w:tcPr>
          <w:p w14:paraId="7E96DFA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Τεχνολογικές εξελίξεις</w:t>
            </w:r>
          </w:p>
        </w:tc>
        <w:tc>
          <w:tcPr>
            <w:tcW w:w="728" w:type="dxa"/>
            <w:shd w:val="clear" w:color="auto" w:fill="auto"/>
            <w:noWrap/>
            <w:textDirection w:val="btLr"/>
            <w:vAlign w:val="bottom"/>
          </w:tcPr>
          <w:p w14:paraId="7D0E7F79"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Κλιματική αλλαγή / περιβάλλον</w:t>
            </w:r>
          </w:p>
        </w:tc>
        <w:tc>
          <w:tcPr>
            <w:tcW w:w="473" w:type="dxa"/>
            <w:shd w:val="clear" w:color="auto" w:fill="auto"/>
            <w:noWrap/>
            <w:textDirection w:val="btLr"/>
            <w:vAlign w:val="bottom"/>
          </w:tcPr>
          <w:p w14:paraId="303D508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Δημογραφικές εξελίξεις</w:t>
            </w:r>
          </w:p>
        </w:tc>
        <w:tc>
          <w:tcPr>
            <w:tcW w:w="523" w:type="dxa"/>
            <w:shd w:val="clear" w:color="auto" w:fill="auto"/>
            <w:noWrap/>
            <w:textDirection w:val="btLr"/>
            <w:vAlign w:val="bottom"/>
          </w:tcPr>
          <w:p w14:paraId="3B47F3F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Λοιπές προκλήσεις</w:t>
            </w:r>
          </w:p>
        </w:tc>
        <w:tc>
          <w:tcPr>
            <w:tcW w:w="523" w:type="dxa"/>
            <w:shd w:val="clear" w:color="auto" w:fill="auto"/>
            <w:noWrap/>
            <w:textDirection w:val="btLr"/>
            <w:vAlign w:val="bottom"/>
          </w:tcPr>
          <w:p w14:paraId="5267DE51"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Γεωγραφική θέση</w:t>
            </w:r>
          </w:p>
        </w:tc>
        <w:tc>
          <w:tcPr>
            <w:tcW w:w="523" w:type="dxa"/>
            <w:shd w:val="clear" w:color="auto" w:fill="auto"/>
            <w:noWrap/>
            <w:textDirection w:val="btLr"/>
            <w:vAlign w:val="bottom"/>
          </w:tcPr>
          <w:p w14:paraId="75C8A61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Φυσικό περιβάλλον</w:t>
            </w:r>
          </w:p>
        </w:tc>
        <w:tc>
          <w:tcPr>
            <w:tcW w:w="523" w:type="dxa"/>
            <w:shd w:val="clear" w:color="auto" w:fill="auto"/>
            <w:noWrap/>
            <w:textDirection w:val="btLr"/>
            <w:vAlign w:val="bottom"/>
          </w:tcPr>
          <w:p w14:paraId="2D997476"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Πολιτιστική κληρονομιά</w:t>
            </w:r>
          </w:p>
        </w:tc>
      </w:tr>
      <w:tr w:rsidR="002A2422" w14:paraId="45C02AC1" w14:textId="77777777">
        <w:trPr>
          <w:trHeight w:val="500"/>
          <w:jc w:val="center"/>
        </w:trPr>
        <w:tc>
          <w:tcPr>
            <w:tcW w:w="3958" w:type="dxa"/>
            <w:shd w:val="clear" w:color="auto" w:fill="auto"/>
            <w:vAlign w:val="bottom"/>
          </w:tcPr>
          <w:p w14:paraId="210573A3"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Δημιουργία επιλεγμένων ερευνητικών κέντρων και προγραμμάτων σε τομείς αιχμής</w:t>
            </w:r>
          </w:p>
        </w:tc>
        <w:tc>
          <w:tcPr>
            <w:tcW w:w="575" w:type="dxa"/>
            <w:shd w:val="clear" w:color="auto" w:fill="auto"/>
            <w:noWrap/>
            <w:vAlign w:val="bottom"/>
          </w:tcPr>
          <w:p w14:paraId="6931ED62"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75" w:type="dxa"/>
            <w:shd w:val="clear" w:color="auto" w:fill="auto"/>
            <w:noWrap/>
            <w:vAlign w:val="bottom"/>
          </w:tcPr>
          <w:p w14:paraId="3B6CB925"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08" w:type="dxa"/>
            <w:shd w:val="clear" w:color="auto" w:fill="auto"/>
            <w:noWrap/>
            <w:vAlign w:val="bottom"/>
          </w:tcPr>
          <w:p w14:paraId="55079389"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23" w:type="dxa"/>
            <w:shd w:val="clear" w:color="auto" w:fill="auto"/>
            <w:noWrap/>
            <w:vAlign w:val="bottom"/>
          </w:tcPr>
          <w:p w14:paraId="1EB3D978"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523" w:type="dxa"/>
            <w:shd w:val="clear" w:color="auto" w:fill="auto"/>
            <w:noWrap/>
            <w:vAlign w:val="bottom"/>
          </w:tcPr>
          <w:p w14:paraId="74AA9D3E"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705" w:type="dxa"/>
            <w:shd w:val="clear" w:color="auto" w:fill="auto"/>
            <w:noWrap/>
            <w:vAlign w:val="bottom"/>
          </w:tcPr>
          <w:p w14:paraId="505F4CC2"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75" w:type="dxa"/>
            <w:shd w:val="clear" w:color="auto" w:fill="auto"/>
            <w:noWrap/>
            <w:vAlign w:val="bottom"/>
          </w:tcPr>
          <w:p w14:paraId="7310846B"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28" w:type="dxa"/>
            <w:shd w:val="clear" w:color="auto" w:fill="auto"/>
            <w:noWrap/>
            <w:vAlign w:val="bottom"/>
          </w:tcPr>
          <w:p w14:paraId="5BB4E3D2"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73" w:type="dxa"/>
            <w:shd w:val="clear" w:color="auto" w:fill="auto"/>
            <w:noWrap/>
            <w:vAlign w:val="bottom"/>
          </w:tcPr>
          <w:p w14:paraId="4594DF4F"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523" w:type="dxa"/>
            <w:shd w:val="clear" w:color="auto" w:fill="auto"/>
            <w:noWrap/>
            <w:vAlign w:val="bottom"/>
          </w:tcPr>
          <w:p w14:paraId="7B47A260"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23" w:type="dxa"/>
            <w:shd w:val="clear" w:color="auto" w:fill="auto"/>
            <w:noWrap/>
            <w:vAlign w:val="bottom"/>
          </w:tcPr>
          <w:p w14:paraId="062D446D"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523" w:type="dxa"/>
            <w:shd w:val="clear" w:color="auto" w:fill="auto"/>
            <w:noWrap/>
            <w:vAlign w:val="bottom"/>
          </w:tcPr>
          <w:p w14:paraId="11A6AD57"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23" w:type="dxa"/>
            <w:shd w:val="clear" w:color="auto" w:fill="auto"/>
            <w:noWrap/>
            <w:vAlign w:val="bottom"/>
          </w:tcPr>
          <w:p w14:paraId="4254AEBC"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r>
      <w:tr w:rsidR="002A2422" w14:paraId="24BC6678" w14:textId="77777777">
        <w:trPr>
          <w:trHeight w:val="500"/>
          <w:jc w:val="center"/>
        </w:trPr>
        <w:tc>
          <w:tcPr>
            <w:tcW w:w="3958" w:type="dxa"/>
            <w:shd w:val="clear" w:color="auto" w:fill="auto"/>
            <w:vAlign w:val="bottom"/>
          </w:tcPr>
          <w:p w14:paraId="7834FA63"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Δημιουργία ερευνητικής τεχνογνωσίας και λύσεων ΤΠΕ στο δημόσιο τομέα</w:t>
            </w:r>
          </w:p>
        </w:tc>
        <w:tc>
          <w:tcPr>
            <w:tcW w:w="575" w:type="dxa"/>
            <w:shd w:val="clear" w:color="auto" w:fill="auto"/>
            <w:noWrap/>
            <w:vAlign w:val="bottom"/>
          </w:tcPr>
          <w:p w14:paraId="2376A4B9"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75" w:type="dxa"/>
            <w:shd w:val="clear" w:color="auto" w:fill="auto"/>
            <w:noWrap/>
            <w:vAlign w:val="bottom"/>
          </w:tcPr>
          <w:p w14:paraId="199A1152"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08" w:type="dxa"/>
            <w:shd w:val="clear" w:color="auto" w:fill="auto"/>
            <w:noWrap/>
            <w:vAlign w:val="bottom"/>
          </w:tcPr>
          <w:p w14:paraId="46972E89"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30E11D01"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47228408"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705" w:type="dxa"/>
            <w:shd w:val="clear" w:color="auto" w:fill="auto"/>
            <w:noWrap/>
            <w:vAlign w:val="bottom"/>
          </w:tcPr>
          <w:p w14:paraId="12300A7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75" w:type="dxa"/>
            <w:shd w:val="clear" w:color="auto" w:fill="auto"/>
            <w:noWrap/>
            <w:vAlign w:val="bottom"/>
          </w:tcPr>
          <w:p w14:paraId="580F203F"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28" w:type="dxa"/>
            <w:shd w:val="clear" w:color="auto" w:fill="auto"/>
            <w:noWrap/>
            <w:vAlign w:val="bottom"/>
          </w:tcPr>
          <w:p w14:paraId="5754EBA0"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73" w:type="dxa"/>
            <w:shd w:val="clear" w:color="auto" w:fill="auto"/>
            <w:noWrap/>
            <w:vAlign w:val="bottom"/>
          </w:tcPr>
          <w:p w14:paraId="6FE031B0"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06DF219B"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23" w:type="dxa"/>
            <w:shd w:val="clear" w:color="auto" w:fill="auto"/>
            <w:noWrap/>
            <w:vAlign w:val="bottom"/>
          </w:tcPr>
          <w:p w14:paraId="3918E3BE"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0AE5BEDA"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2AD767F8"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11F2BF8F" w14:textId="77777777">
        <w:trPr>
          <w:trHeight w:val="500"/>
          <w:jc w:val="center"/>
        </w:trPr>
        <w:tc>
          <w:tcPr>
            <w:tcW w:w="3958" w:type="dxa"/>
            <w:shd w:val="clear" w:color="auto" w:fill="auto"/>
            <w:vAlign w:val="bottom"/>
          </w:tcPr>
          <w:p w14:paraId="6AB3C71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Προώθηση αποτελεσμάτων έρευνας, καινοτομίας και τεχνολογίας στις επιχειρήσεις</w:t>
            </w:r>
          </w:p>
        </w:tc>
        <w:tc>
          <w:tcPr>
            <w:tcW w:w="575" w:type="dxa"/>
            <w:shd w:val="clear" w:color="auto" w:fill="auto"/>
            <w:noWrap/>
            <w:vAlign w:val="bottom"/>
          </w:tcPr>
          <w:p w14:paraId="0DEA5BE2"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75" w:type="dxa"/>
            <w:shd w:val="clear" w:color="auto" w:fill="auto"/>
            <w:noWrap/>
            <w:vAlign w:val="bottom"/>
          </w:tcPr>
          <w:p w14:paraId="72D3B75A"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08" w:type="dxa"/>
            <w:shd w:val="clear" w:color="auto" w:fill="auto"/>
            <w:noWrap/>
            <w:vAlign w:val="bottom"/>
          </w:tcPr>
          <w:p w14:paraId="3F2DF81F"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23" w:type="dxa"/>
            <w:shd w:val="clear" w:color="auto" w:fill="auto"/>
            <w:noWrap/>
            <w:vAlign w:val="bottom"/>
          </w:tcPr>
          <w:p w14:paraId="6194A3F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1E63FBE0"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705" w:type="dxa"/>
            <w:shd w:val="clear" w:color="auto" w:fill="auto"/>
            <w:noWrap/>
            <w:vAlign w:val="bottom"/>
          </w:tcPr>
          <w:p w14:paraId="7CC2877B"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75" w:type="dxa"/>
            <w:shd w:val="clear" w:color="auto" w:fill="auto"/>
            <w:noWrap/>
            <w:vAlign w:val="bottom"/>
          </w:tcPr>
          <w:p w14:paraId="4DD461FC"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28" w:type="dxa"/>
            <w:shd w:val="clear" w:color="auto" w:fill="auto"/>
            <w:noWrap/>
            <w:vAlign w:val="bottom"/>
          </w:tcPr>
          <w:p w14:paraId="67BFD464"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73" w:type="dxa"/>
            <w:shd w:val="clear" w:color="auto" w:fill="auto"/>
            <w:noWrap/>
            <w:vAlign w:val="bottom"/>
          </w:tcPr>
          <w:p w14:paraId="4543E3F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588E045A"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23" w:type="dxa"/>
            <w:shd w:val="clear" w:color="auto" w:fill="auto"/>
            <w:noWrap/>
            <w:vAlign w:val="bottom"/>
          </w:tcPr>
          <w:p w14:paraId="5B49C750"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38702101"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40AEEE2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00A9E476" w14:textId="77777777">
        <w:trPr>
          <w:trHeight w:val="250"/>
          <w:jc w:val="center"/>
        </w:trPr>
        <w:tc>
          <w:tcPr>
            <w:tcW w:w="3958" w:type="dxa"/>
            <w:shd w:val="clear" w:color="auto" w:fill="auto"/>
            <w:vAlign w:val="bottom"/>
          </w:tcPr>
          <w:p w14:paraId="28AB9AAE"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Συστάδες ανάπτυξης</w:t>
            </w:r>
          </w:p>
        </w:tc>
        <w:tc>
          <w:tcPr>
            <w:tcW w:w="575" w:type="dxa"/>
            <w:shd w:val="clear" w:color="auto" w:fill="auto"/>
            <w:noWrap/>
            <w:vAlign w:val="bottom"/>
          </w:tcPr>
          <w:p w14:paraId="5A59D4D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75" w:type="dxa"/>
            <w:shd w:val="clear" w:color="auto" w:fill="auto"/>
            <w:noWrap/>
            <w:vAlign w:val="bottom"/>
          </w:tcPr>
          <w:p w14:paraId="4347D8F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708" w:type="dxa"/>
            <w:shd w:val="clear" w:color="auto" w:fill="auto"/>
            <w:noWrap/>
            <w:vAlign w:val="bottom"/>
          </w:tcPr>
          <w:p w14:paraId="365C05F4"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23" w:type="dxa"/>
            <w:shd w:val="clear" w:color="auto" w:fill="auto"/>
            <w:noWrap/>
            <w:vAlign w:val="bottom"/>
          </w:tcPr>
          <w:p w14:paraId="035D2348"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271F3921"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705" w:type="dxa"/>
            <w:shd w:val="clear" w:color="auto" w:fill="auto"/>
            <w:noWrap/>
            <w:vAlign w:val="bottom"/>
          </w:tcPr>
          <w:p w14:paraId="73DF74C3"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75" w:type="dxa"/>
            <w:shd w:val="clear" w:color="auto" w:fill="auto"/>
            <w:noWrap/>
            <w:vAlign w:val="bottom"/>
          </w:tcPr>
          <w:p w14:paraId="5E8F4B82"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28" w:type="dxa"/>
            <w:shd w:val="clear" w:color="auto" w:fill="auto"/>
            <w:noWrap/>
            <w:vAlign w:val="bottom"/>
          </w:tcPr>
          <w:p w14:paraId="3A509F01"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73" w:type="dxa"/>
            <w:shd w:val="clear" w:color="auto" w:fill="auto"/>
            <w:noWrap/>
            <w:vAlign w:val="bottom"/>
          </w:tcPr>
          <w:p w14:paraId="41F0CEF7"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4E40BF42"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24F6258A"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120ADB7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4591AD15"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479BF219" w14:textId="77777777">
        <w:trPr>
          <w:trHeight w:val="250"/>
          <w:jc w:val="center"/>
        </w:trPr>
        <w:tc>
          <w:tcPr>
            <w:tcW w:w="3958" w:type="dxa"/>
            <w:shd w:val="clear" w:color="auto" w:fill="auto"/>
            <w:vAlign w:val="bottom"/>
          </w:tcPr>
          <w:p w14:paraId="10AE309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Βιομηχανική μετάβαση και επιχειρηματικότητα</w:t>
            </w:r>
          </w:p>
        </w:tc>
        <w:tc>
          <w:tcPr>
            <w:tcW w:w="575" w:type="dxa"/>
            <w:shd w:val="clear" w:color="auto" w:fill="auto"/>
            <w:noWrap/>
            <w:vAlign w:val="bottom"/>
          </w:tcPr>
          <w:p w14:paraId="058A499B"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75" w:type="dxa"/>
            <w:shd w:val="clear" w:color="auto" w:fill="auto"/>
            <w:noWrap/>
            <w:vAlign w:val="bottom"/>
          </w:tcPr>
          <w:p w14:paraId="253661E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708" w:type="dxa"/>
            <w:shd w:val="clear" w:color="auto" w:fill="auto"/>
            <w:noWrap/>
            <w:vAlign w:val="bottom"/>
          </w:tcPr>
          <w:p w14:paraId="325627DB"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23" w:type="dxa"/>
            <w:shd w:val="clear" w:color="auto" w:fill="auto"/>
            <w:noWrap/>
            <w:vAlign w:val="bottom"/>
          </w:tcPr>
          <w:p w14:paraId="2E43CB59"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79DCDBC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705" w:type="dxa"/>
            <w:shd w:val="clear" w:color="auto" w:fill="auto"/>
            <w:noWrap/>
            <w:vAlign w:val="bottom"/>
          </w:tcPr>
          <w:p w14:paraId="28E92E17"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75" w:type="dxa"/>
            <w:shd w:val="clear" w:color="auto" w:fill="auto"/>
            <w:noWrap/>
            <w:vAlign w:val="bottom"/>
          </w:tcPr>
          <w:p w14:paraId="1499E5BA"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28" w:type="dxa"/>
            <w:shd w:val="clear" w:color="auto" w:fill="auto"/>
            <w:noWrap/>
            <w:vAlign w:val="bottom"/>
          </w:tcPr>
          <w:p w14:paraId="6F0EBAFA"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73" w:type="dxa"/>
            <w:shd w:val="clear" w:color="auto" w:fill="auto"/>
            <w:noWrap/>
            <w:vAlign w:val="bottom"/>
          </w:tcPr>
          <w:p w14:paraId="232801AF"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50D5499A"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2175672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3003CEB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1D1EF4A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764F038D" w14:textId="77777777">
        <w:trPr>
          <w:trHeight w:val="250"/>
          <w:jc w:val="center"/>
        </w:trPr>
        <w:tc>
          <w:tcPr>
            <w:tcW w:w="3958" w:type="dxa"/>
            <w:shd w:val="clear" w:color="auto" w:fill="auto"/>
            <w:vAlign w:val="bottom"/>
          </w:tcPr>
          <w:p w14:paraId="44A37D9A"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xml:space="preserve">Δημόσια διοίκηση και </w:t>
            </w:r>
            <w:proofErr w:type="spellStart"/>
            <w:r>
              <w:rPr>
                <w:rFonts w:asciiTheme="minorHAnsi" w:eastAsia="Times New Roman" w:hAnsiTheme="minorHAnsi" w:cstheme="minorHAnsi"/>
                <w:b/>
                <w:bCs/>
                <w:color w:val="000000"/>
                <w:sz w:val="20"/>
                <w:szCs w:val="20"/>
              </w:rPr>
              <w:t>ψηφιοποίηση</w:t>
            </w:r>
            <w:proofErr w:type="spellEnd"/>
          </w:p>
        </w:tc>
        <w:tc>
          <w:tcPr>
            <w:tcW w:w="575" w:type="dxa"/>
            <w:shd w:val="clear" w:color="auto" w:fill="auto"/>
            <w:noWrap/>
            <w:vAlign w:val="bottom"/>
          </w:tcPr>
          <w:p w14:paraId="4F165296"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575" w:type="dxa"/>
            <w:shd w:val="clear" w:color="auto" w:fill="auto"/>
            <w:noWrap/>
            <w:vAlign w:val="bottom"/>
          </w:tcPr>
          <w:p w14:paraId="266B35EF"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08" w:type="dxa"/>
            <w:shd w:val="clear" w:color="auto" w:fill="auto"/>
            <w:noWrap/>
            <w:vAlign w:val="bottom"/>
          </w:tcPr>
          <w:p w14:paraId="7A00EBCF"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523" w:type="dxa"/>
            <w:shd w:val="clear" w:color="auto" w:fill="auto"/>
            <w:noWrap/>
            <w:vAlign w:val="bottom"/>
          </w:tcPr>
          <w:p w14:paraId="10636A2D"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523" w:type="dxa"/>
            <w:shd w:val="clear" w:color="auto" w:fill="auto"/>
            <w:noWrap/>
            <w:vAlign w:val="bottom"/>
          </w:tcPr>
          <w:p w14:paraId="50ECEB22"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05" w:type="dxa"/>
            <w:shd w:val="clear" w:color="auto" w:fill="auto"/>
            <w:noWrap/>
            <w:vAlign w:val="bottom"/>
          </w:tcPr>
          <w:p w14:paraId="2C054654"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575" w:type="dxa"/>
            <w:shd w:val="clear" w:color="auto" w:fill="auto"/>
            <w:noWrap/>
            <w:vAlign w:val="bottom"/>
          </w:tcPr>
          <w:p w14:paraId="6167C939"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28" w:type="dxa"/>
            <w:shd w:val="clear" w:color="auto" w:fill="auto"/>
            <w:noWrap/>
            <w:vAlign w:val="bottom"/>
          </w:tcPr>
          <w:p w14:paraId="659F7F33"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473" w:type="dxa"/>
            <w:shd w:val="clear" w:color="auto" w:fill="auto"/>
            <w:noWrap/>
            <w:vAlign w:val="bottom"/>
          </w:tcPr>
          <w:p w14:paraId="32DFAC28"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523" w:type="dxa"/>
            <w:shd w:val="clear" w:color="auto" w:fill="auto"/>
            <w:noWrap/>
            <w:vAlign w:val="bottom"/>
          </w:tcPr>
          <w:p w14:paraId="49DC5232"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523" w:type="dxa"/>
            <w:shd w:val="clear" w:color="auto" w:fill="auto"/>
            <w:noWrap/>
            <w:vAlign w:val="bottom"/>
          </w:tcPr>
          <w:p w14:paraId="244A35F0"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523" w:type="dxa"/>
            <w:shd w:val="clear" w:color="auto" w:fill="auto"/>
            <w:noWrap/>
            <w:vAlign w:val="bottom"/>
          </w:tcPr>
          <w:p w14:paraId="4E03EFA2"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523" w:type="dxa"/>
            <w:shd w:val="clear" w:color="auto" w:fill="auto"/>
            <w:noWrap/>
            <w:vAlign w:val="bottom"/>
          </w:tcPr>
          <w:p w14:paraId="080D0394"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r>
      <w:tr w:rsidR="002A2422" w14:paraId="476CE85D" w14:textId="77777777">
        <w:trPr>
          <w:trHeight w:val="250"/>
          <w:jc w:val="center"/>
        </w:trPr>
        <w:tc>
          <w:tcPr>
            <w:tcW w:w="3958" w:type="dxa"/>
            <w:shd w:val="clear" w:color="auto" w:fill="auto"/>
            <w:vAlign w:val="bottom"/>
          </w:tcPr>
          <w:p w14:paraId="504840AB"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Ηλεκτρονική υγεία (e=Health)</w:t>
            </w:r>
          </w:p>
        </w:tc>
        <w:tc>
          <w:tcPr>
            <w:tcW w:w="575" w:type="dxa"/>
            <w:shd w:val="clear" w:color="auto" w:fill="auto"/>
            <w:noWrap/>
            <w:vAlign w:val="bottom"/>
          </w:tcPr>
          <w:p w14:paraId="7EE5B11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75" w:type="dxa"/>
            <w:shd w:val="clear" w:color="auto" w:fill="auto"/>
            <w:noWrap/>
            <w:vAlign w:val="bottom"/>
          </w:tcPr>
          <w:p w14:paraId="4CC8B34D"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08" w:type="dxa"/>
            <w:shd w:val="clear" w:color="auto" w:fill="auto"/>
            <w:noWrap/>
            <w:vAlign w:val="bottom"/>
          </w:tcPr>
          <w:p w14:paraId="4A935DE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1287157B"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23" w:type="dxa"/>
            <w:shd w:val="clear" w:color="auto" w:fill="auto"/>
            <w:noWrap/>
            <w:vAlign w:val="bottom"/>
          </w:tcPr>
          <w:p w14:paraId="634FD4FE"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05" w:type="dxa"/>
            <w:shd w:val="clear" w:color="auto" w:fill="auto"/>
            <w:noWrap/>
            <w:vAlign w:val="bottom"/>
          </w:tcPr>
          <w:p w14:paraId="08AAEECA"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75" w:type="dxa"/>
            <w:shd w:val="clear" w:color="auto" w:fill="auto"/>
            <w:noWrap/>
            <w:vAlign w:val="bottom"/>
          </w:tcPr>
          <w:p w14:paraId="20977F0C"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28" w:type="dxa"/>
            <w:shd w:val="clear" w:color="auto" w:fill="auto"/>
            <w:noWrap/>
            <w:vAlign w:val="bottom"/>
          </w:tcPr>
          <w:p w14:paraId="6EF1A3A8"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73" w:type="dxa"/>
            <w:shd w:val="clear" w:color="auto" w:fill="auto"/>
            <w:noWrap/>
            <w:vAlign w:val="bottom"/>
          </w:tcPr>
          <w:p w14:paraId="47205BFE"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3F75F1C5"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23" w:type="dxa"/>
            <w:shd w:val="clear" w:color="auto" w:fill="auto"/>
            <w:noWrap/>
            <w:vAlign w:val="bottom"/>
          </w:tcPr>
          <w:p w14:paraId="2AC8EBE2"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790E045B"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29CA0D4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4A469B0F" w14:textId="77777777">
        <w:trPr>
          <w:trHeight w:val="500"/>
          <w:jc w:val="center"/>
        </w:trPr>
        <w:tc>
          <w:tcPr>
            <w:tcW w:w="3958" w:type="dxa"/>
            <w:tcBorders>
              <w:bottom w:val="single" w:sz="4" w:space="0" w:color="auto"/>
            </w:tcBorders>
            <w:shd w:val="clear" w:color="auto" w:fill="auto"/>
            <w:vAlign w:val="bottom"/>
          </w:tcPr>
          <w:p w14:paraId="381B03C3"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Ψηφιακή διασύνδεση μονάδων δημόσιας διοίκησης</w:t>
            </w:r>
          </w:p>
        </w:tc>
        <w:tc>
          <w:tcPr>
            <w:tcW w:w="575" w:type="dxa"/>
            <w:tcBorders>
              <w:bottom w:val="single" w:sz="4" w:space="0" w:color="auto"/>
            </w:tcBorders>
            <w:shd w:val="clear" w:color="auto" w:fill="auto"/>
            <w:noWrap/>
            <w:vAlign w:val="bottom"/>
          </w:tcPr>
          <w:p w14:paraId="7F6C30B8"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75" w:type="dxa"/>
            <w:tcBorders>
              <w:bottom w:val="single" w:sz="4" w:space="0" w:color="auto"/>
            </w:tcBorders>
            <w:shd w:val="clear" w:color="auto" w:fill="auto"/>
            <w:noWrap/>
            <w:vAlign w:val="bottom"/>
          </w:tcPr>
          <w:p w14:paraId="7495FDB9"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08" w:type="dxa"/>
            <w:tcBorders>
              <w:bottom w:val="single" w:sz="4" w:space="0" w:color="auto"/>
            </w:tcBorders>
            <w:shd w:val="clear" w:color="auto" w:fill="auto"/>
            <w:noWrap/>
            <w:vAlign w:val="bottom"/>
          </w:tcPr>
          <w:p w14:paraId="39339E37"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tcBorders>
              <w:bottom w:val="single" w:sz="4" w:space="0" w:color="auto"/>
            </w:tcBorders>
            <w:shd w:val="clear" w:color="auto" w:fill="auto"/>
            <w:noWrap/>
            <w:vAlign w:val="bottom"/>
          </w:tcPr>
          <w:p w14:paraId="0C496F23"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tcBorders>
              <w:bottom w:val="single" w:sz="4" w:space="0" w:color="auto"/>
            </w:tcBorders>
            <w:shd w:val="clear" w:color="auto" w:fill="auto"/>
            <w:noWrap/>
            <w:vAlign w:val="bottom"/>
          </w:tcPr>
          <w:p w14:paraId="78394C4E"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05" w:type="dxa"/>
            <w:tcBorders>
              <w:bottom w:val="single" w:sz="4" w:space="0" w:color="auto"/>
            </w:tcBorders>
            <w:shd w:val="clear" w:color="auto" w:fill="auto"/>
            <w:noWrap/>
            <w:vAlign w:val="bottom"/>
          </w:tcPr>
          <w:p w14:paraId="49314E30"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75" w:type="dxa"/>
            <w:tcBorders>
              <w:bottom w:val="single" w:sz="4" w:space="0" w:color="auto"/>
            </w:tcBorders>
            <w:shd w:val="clear" w:color="auto" w:fill="auto"/>
            <w:noWrap/>
            <w:vAlign w:val="bottom"/>
          </w:tcPr>
          <w:p w14:paraId="0391590A"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28" w:type="dxa"/>
            <w:tcBorders>
              <w:bottom w:val="single" w:sz="4" w:space="0" w:color="auto"/>
            </w:tcBorders>
            <w:shd w:val="clear" w:color="auto" w:fill="auto"/>
            <w:noWrap/>
            <w:vAlign w:val="bottom"/>
          </w:tcPr>
          <w:p w14:paraId="7A1180B0"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73" w:type="dxa"/>
            <w:tcBorders>
              <w:bottom w:val="single" w:sz="4" w:space="0" w:color="auto"/>
            </w:tcBorders>
            <w:shd w:val="clear" w:color="auto" w:fill="auto"/>
            <w:noWrap/>
            <w:vAlign w:val="bottom"/>
          </w:tcPr>
          <w:p w14:paraId="0C82D8A7"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tcBorders>
              <w:bottom w:val="single" w:sz="4" w:space="0" w:color="auto"/>
            </w:tcBorders>
            <w:shd w:val="clear" w:color="auto" w:fill="auto"/>
            <w:noWrap/>
            <w:vAlign w:val="bottom"/>
          </w:tcPr>
          <w:p w14:paraId="12BE23C3"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tcBorders>
              <w:bottom w:val="single" w:sz="4" w:space="0" w:color="auto"/>
            </w:tcBorders>
            <w:shd w:val="clear" w:color="auto" w:fill="auto"/>
            <w:noWrap/>
            <w:vAlign w:val="bottom"/>
          </w:tcPr>
          <w:p w14:paraId="236E9FF2"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tcBorders>
              <w:bottom w:val="single" w:sz="4" w:space="0" w:color="auto"/>
            </w:tcBorders>
            <w:shd w:val="clear" w:color="auto" w:fill="auto"/>
            <w:noWrap/>
            <w:vAlign w:val="bottom"/>
          </w:tcPr>
          <w:p w14:paraId="65FAD1EA"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tcBorders>
              <w:bottom w:val="single" w:sz="4" w:space="0" w:color="auto"/>
            </w:tcBorders>
            <w:shd w:val="clear" w:color="auto" w:fill="auto"/>
            <w:noWrap/>
            <w:vAlign w:val="bottom"/>
          </w:tcPr>
          <w:p w14:paraId="6253F76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7B79995A" w14:textId="77777777">
        <w:trPr>
          <w:trHeight w:val="250"/>
          <w:jc w:val="center"/>
        </w:trPr>
        <w:tc>
          <w:tcPr>
            <w:tcW w:w="3958" w:type="dxa"/>
            <w:shd w:val="clear" w:color="auto" w:fill="auto"/>
            <w:vAlign w:val="bottom"/>
          </w:tcPr>
          <w:p w14:paraId="11B75F3A"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lastRenderedPageBreak/>
              <w:t>Εκσυγχρονισμός του δικαστικού συστήματος</w:t>
            </w:r>
          </w:p>
        </w:tc>
        <w:tc>
          <w:tcPr>
            <w:tcW w:w="575" w:type="dxa"/>
            <w:shd w:val="clear" w:color="auto" w:fill="auto"/>
            <w:noWrap/>
            <w:vAlign w:val="bottom"/>
          </w:tcPr>
          <w:p w14:paraId="42CCE03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75" w:type="dxa"/>
            <w:shd w:val="clear" w:color="auto" w:fill="auto"/>
            <w:noWrap/>
            <w:vAlign w:val="bottom"/>
          </w:tcPr>
          <w:p w14:paraId="48C20434"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08" w:type="dxa"/>
            <w:shd w:val="clear" w:color="auto" w:fill="auto"/>
            <w:noWrap/>
            <w:vAlign w:val="bottom"/>
          </w:tcPr>
          <w:p w14:paraId="56282C82"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5E406D76"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68B439D5"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705" w:type="dxa"/>
            <w:shd w:val="clear" w:color="auto" w:fill="auto"/>
            <w:noWrap/>
            <w:vAlign w:val="bottom"/>
          </w:tcPr>
          <w:p w14:paraId="651B84C8"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75" w:type="dxa"/>
            <w:shd w:val="clear" w:color="auto" w:fill="auto"/>
            <w:noWrap/>
            <w:vAlign w:val="bottom"/>
          </w:tcPr>
          <w:p w14:paraId="6BC1D5C7"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28" w:type="dxa"/>
            <w:shd w:val="clear" w:color="auto" w:fill="auto"/>
            <w:noWrap/>
            <w:vAlign w:val="bottom"/>
          </w:tcPr>
          <w:p w14:paraId="06332D6E"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73" w:type="dxa"/>
            <w:shd w:val="clear" w:color="auto" w:fill="auto"/>
            <w:noWrap/>
            <w:vAlign w:val="bottom"/>
          </w:tcPr>
          <w:p w14:paraId="74628B6E"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038BFD31"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2C7CE897"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4EF3ADA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75593CA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3AEBF646" w14:textId="77777777">
        <w:trPr>
          <w:trHeight w:val="250"/>
          <w:jc w:val="center"/>
        </w:trPr>
        <w:tc>
          <w:tcPr>
            <w:tcW w:w="3958" w:type="dxa"/>
            <w:shd w:val="clear" w:color="auto" w:fill="auto"/>
            <w:vAlign w:val="bottom"/>
          </w:tcPr>
          <w:p w14:paraId="02FD101A"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Έξυπνες πόλεις</w:t>
            </w:r>
          </w:p>
        </w:tc>
        <w:tc>
          <w:tcPr>
            <w:tcW w:w="575" w:type="dxa"/>
            <w:shd w:val="clear" w:color="auto" w:fill="auto"/>
            <w:noWrap/>
            <w:vAlign w:val="bottom"/>
          </w:tcPr>
          <w:p w14:paraId="415F7968"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75" w:type="dxa"/>
            <w:shd w:val="clear" w:color="auto" w:fill="auto"/>
            <w:noWrap/>
            <w:vAlign w:val="bottom"/>
          </w:tcPr>
          <w:p w14:paraId="06C15AF6"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08" w:type="dxa"/>
            <w:shd w:val="clear" w:color="auto" w:fill="auto"/>
            <w:noWrap/>
            <w:vAlign w:val="bottom"/>
          </w:tcPr>
          <w:p w14:paraId="42CB411F"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0A8E0D1E"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23" w:type="dxa"/>
            <w:shd w:val="clear" w:color="auto" w:fill="auto"/>
            <w:noWrap/>
            <w:vAlign w:val="bottom"/>
          </w:tcPr>
          <w:p w14:paraId="0699FCF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705" w:type="dxa"/>
            <w:shd w:val="clear" w:color="auto" w:fill="auto"/>
            <w:noWrap/>
            <w:vAlign w:val="bottom"/>
          </w:tcPr>
          <w:p w14:paraId="5C8B1527"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75" w:type="dxa"/>
            <w:shd w:val="clear" w:color="auto" w:fill="auto"/>
            <w:noWrap/>
            <w:vAlign w:val="bottom"/>
          </w:tcPr>
          <w:p w14:paraId="5EB76F8E"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28" w:type="dxa"/>
            <w:shd w:val="clear" w:color="auto" w:fill="auto"/>
            <w:noWrap/>
            <w:vAlign w:val="bottom"/>
          </w:tcPr>
          <w:p w14:paraId="3E3F7420"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73" w:type="dxa"/>
            <w:shd w:val="clear" w:color="auto" w:fill="auto"/>
            <w:noWrap/>
            <w:vAlign w:val="bottom"/>
          </w:tcPr>
          <w:p w14:paraId="2356CBCA"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53D4C7E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250568E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5B96D935"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shd w:val="clear" w:color="auto" w:fill="auto"/>
            <w:noWrap/>
            <w:vAlign w:val="bottom"/>
          </w:tcPr>
          <w:p w14:paraId="4517BE4A"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7E6C01CE" w14:textId="77777777">
        <w:trPr>
          <w:trHeight w:val="250"/>
          <w:jc w:val="center"/>
        </w:trPr>
        <w:tc>
          <w:tcPr>
            <w:tcW w:w="3958" w:type="dxa"/>
            <w:tcBorders>
              <w:bottom w:val="single" w:sz="4" w:space="0" w:color="auto"/>
            </w:tcBorders>
            <w:shd w:val="clear" w:color="auto" w:fill="auto"/>
            <w:vAlign w:val="bottom"/>
          </w:tcPr>
          <w:p w14:paraId="0953A9A9"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Ψηφιακές δεξιότητες και ψηφιακή ένταξη</w:t>
            </w:r>
          </w:p>
        </w:tc>
        <w:tc>
          <w:tcPr>
            <w:tcW w:w="575" w:type="dxa"/>
            <w:tcBorders>
              <w:bottom w:val="single" w:sz="4" w:space="0" w:color="auto"/>
            </w:tcBorders>
            <w:shd w:val="clear" w:color="auto" w:fill="auto"/>
            <w:noWrap/>
            <w:vAlign w:val="bottom"/>
          </w:tcPr>
          <w:p w14:paraId="69A05DC8"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75" w:type="dxa"/>
            <w:tcBorders>
              <w:bottom w:val="single" w:sz="4" w:space="0" w:color="auto"/>
            </w:tcBorders>
            <w:shd w:val="clear" w:color="auto" w:fill="auto"/>
            <w:noWrap/>
            <w:vAlign w:val="bottom"/>
          </w:tcPr>
          <w:p w14:paraId="483AB3FF"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08" w:type="dxa"/>
            <w:tcBorders>
              <w:bottom w:val="single" w:sz="4" w:space="0" w:color="auto"/>
            </w:tcBorders>
            <w:shd w:val="clear" w:color="auto" w:fill="auto"/>
            <w:noWrap/>
            <w:vAlign w:val="bottom"/>
          </w:tcPr>
          <w:p w14:paraId="0F181E86"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tcBorders>
              <w:bottom w:val="single" w:sz="4" w:space="0" w:color="auto"/>
            </w:tcBorders>
            <w:shd w:val="clear" w:color="auto" w:fill="auto"/>
            <w:noWrap/>
            <w:vAlign w:val="bottom"/>
          </w:tcPr>
          <w:p w14:paraId="2B57A8D6"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23" w:type="dxa"/>
            <w:tcBorders>
              <w:bottom w:val="single" w:sz="4" w:space="0" w:color="auto"/>
            </w:tcBorders>
            <w:shd w:val="clear" w:color="auto" w:fill="auto"/>
            <w:noWrap/>
            <w:vAlign w:val="bottom"/>
          </w:tcPr>
          <w:p w14:paraId="5CF4EF62"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705" w:type="dxa"/>
            <w:tcBorders>
              <w:bottom w:val="single" w:sz="4" w:space="0" w:color="auto"/>
            </w:tcBorders>
            <w:shd w:val="clear" w:color="auto" w:fill="auto"/>
            <w:noWrap/>
            <w:vAlign w:val="bottom"/>
          </w:tcPr>
          <w:p w14:paraId="3B90740B"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75" w:type="dxa"/>
            <w:tcBorders>
              <w:bottom w:val="single" w:sz="4" w:space="0" w:color="auto"/>
            </w:tcBorders>
            <w:shd w:val="clear" w:color="auto" w:fill="auto"/>
            <w:noWrap/>
            <w:vAlign w:val="bottom"/>
          </w:tcPr>
          <w:p w14:paraId="2FC0A3FC"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728" w:type="dxa"/>
            <w:tcBorders>
              <w:bottom w:val="single" w:sz="4" w:space="0" w:color="auto"/>
            </w:tcBorders>
            <w:shd w:val="clear" w:color="auto" w:fill="auto"/>
            <w:noWrap/>
            <w:vAlign w:val="bottom"/>
          </w:tcPr>
          <w:p w14:paraId="0C5FDA29"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73" w:type="dxa"/>
            <w:tcBorders>
              <w:bottom w:val="single" w:sz="4" w:space="0" w:color="auto"/>
            </w:tcBorders>
            <w:shd w:val="clear" w:color="auto" w:fill="auto"/>
            <w:noWrap/>
            <w:vAlign w:val="bottom"/>
          </w:tcPr>
          <w:p w14:paraId="544101A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tcBorders>
              <w:bottom w:val="single" w:sz="4" w:space="0" w:color="auto"/>
            </w:tcBorders>
            <w:shd w:val="clear" w:color="auto" w:fill="auto"/>
            <w:noWrap/>
            <w:vAlign w:val="bottom"/>
          </w:tcPr>
          <w:p w14:paraId="5CEA3F2F"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tcBorders>
              <w:bottom w:val="single" w:sz="4" w:space="0" w:color="auto"/>
            </w:tcBorders>
            <w:shd w:val="clear" w:color="auto" w:fill="auto"/>
            <w:noWrap/>
            <w:vAlign w:val="bottom"/>
          </w:tcPr>
          <w:p w14:paraId="2186D926"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tcBorders>
              <w:bottom w:val="single" w:sz="4" w:space="0" w:color="auto"/>
            </w:tcBorders>
            <w:shd w:val="clear" w:color="auto" w:fill="auto"/>
            <w:noWrap/>
            <w:vAlign w:val="bottom"/>
          </w:tcPr>
          <w:p w14:paraId="4D454FEF"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23" w:type="dxa"/>
            <w:tcBorders>
              <w:bottom w:val="single" w:sz="4" w:space="0" w:color="auto"/>
            </w:tcBorders>
            <w:shd w:val="clear" w:color="auto" w:fill="auto"/>
            <w:noWrap/>
            <w:vAlign w:val="bottom"/>
          </w:tcPr>
          <w:p w14:paraId="77186873"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2B12A784" w14:textId="77777777">
        <w:trPr>
          <w:trHeight w:val="250"/>
          <w:jc w:val="center"/>
        </w:trPr>
        <w:tc>
          <w:tcPr>
            <w:tcW w:w="3958" w:type="dxa"/>
            <w:tcBorders>
              <w:top w:val="single" w:sz="4" w:space="0" w:color="auto"/>
              <w:left w:val="nil"/>
              <w:bottom w:val="nil"/>
              <w:right w:val="nil"/>
            </w:tcBorders>
            <w:shd w:val="clear" w:color="auto" w:fill="auto"/>
            <w:noWrap/>
            <w:vAlign w:val="bottom"/>
          </w:tcPr>
          <w:p w14:paraId="108E29C2" w14:textId="77777777" w:rsidR="002A2422" w:rsidRDefault="002A2422">
            <w:pPr>
              <w:spacing w:line="240" w:lineRule="auto"/>
              <w:rPr>
                <w:rFonts w:asciiTheme="minorHAnsi" w:eastAsia="Times New Roman" w:hAnsiTheme="minorHAnsi" w:cstheme="minorHAnsi"/>
                <w:color w:val="000000"/>
                <w:sz w:val="20"/>
                <w:szCs w:val="20"/>
              </w:rPr>
            </w:pPr>
          </w:p>
        </w:tc>
        <w:tc>
          <w:tcPr>
            <w:tcW w:w="575" w:type="dxa"/>
            <w:tcBorders>
              <w:top w:val="single" w:sz="4" w:space="0" w:color="auto"/>
              <w:left w:val="nil"/>
              <w:bottom w:val="nil"/>
              <w:right w:val="nil"/>
            </w:tcBorders>
            <w:shd w:val="clear" w:color="auto" w:fill="auto"/>
            <w:noWrap/>
            <w:vAlign w:val="bottom"/>
          </w:tcPr>
          <w:p w14:paraId="38E4BCF0" w14:textId="77777777" w:rsidR="002A2422" w:rsidRDefault="002A2422">
            <w:pPr>
              <w:spacing w:line="240" w:lineRule="auto"/>
              <w:rPr>
                <w:rFonts w:asciiTheme="minorHAnsi" w:eastAsia="Times New Roman" w:hAnsiTheme="minorHAnsi" w:cstheme="minorHAnsi"/>
                <w:sz w:val="20"/>
                <w:szCs w:val="20"/>
              </w:rPr>
            </w:pPr>
          </w:p>
        </w:tc>
        <w:tc>
          <w:tcPr>
            <w:tcW w:w="575" w:type="dxa"/>
            <w:tcBorders>
              <w:top w:val="single" w:sz="4" w:space="0" w:color="auto"/>
              <w:left w:val="nil"/>
              <w:bottom w:val="nil"/>
              <w:right w:val="nil"/>
            </w:tcBorders>
            <w:shd w:val="clear" w:color="auto" w:fill="auto"/>
            <w:noWrap/>
            <w:vAlign w:val="bottom"/>
          </w:tcPr>
          <w:p w14:paraId="3A310546" w14:textId="77777777" w:rsidR="002A2422" w:rsidRDefault="002A2422">
            <w:pPr>
              <w:spacing w:line="240" w:lineRule="auto"/>
              <w:rPr>
                <w:rFonts w:asciiTheme="minorHAnsi" w:eastAsia="Times New Roman" w:hAnsiTheme="minorHAnsi" w:cstheme="minorHAnsi"/>
                <w:sz w:val="20"/>
                <w:szCs w:val="20"/>
              </w:rPr>
            </w:pPr>
          </w:p>
        </w:tc>
        <w:tc>
          <w:tcPr>
            <w:tcW w:w="708" w:type="dxa"/>
            <w:tcBorders>
              <w:top w:val="single" w:sz="4" w:space="0" w:color="auto"/>
              <w:left w:val="nil"/>
              <w:bottom w:val="nil"/>
              <w:right w:val="nil"/>
            </w:tcBorders>
            <w:shd w:val="clear" w:color="auto" w:fill="auto"/>
            <w:noWrap/>
            <w:vAlign w:val="bottom"/>
          </w:tcPr>
          <w:p w14:paraId="05A43037" w14:textId="77777777" w:rsidR="002A2422" w:rsidRDefault="002A2422">
            <w:pPr>
              <w:spacing w:line="240" w:lineRule="auto"/>
              <w:rPr>
                <w:rFonts w:asciiTheme="minorHAnsi" w:eastAsia="Times New Roman" w:hAnsiTheme="minorHAnsi" w:cstheme="minorHAnsi"/>
                <w:sz w:val="20"/>
                <w:szCs w:val="20"/>
              </w:rPr>
            </w:pPr>
          </w:p>
        </w:tc>
        <w:tc>
          <w:tcPr>
            <w:tcW w:w="523" w:type="dxa"/>
            <w:tcBorders>
              <w:top w:val="single" w:sz="4" w:space="0" w:color="auto"/>
              <w:left w:val="nil"/>
              <w:bottom w:val="nil"/>
              <w:right w:val="nil"/>
            </w:tcBorders>
            <w:shd w:val="clear" w:color="auto" w:fill="auto"/>
            <w:noWrap/>
            <w:vAlign w:val="bottom"/>
          </w:tcPr>
          <w:p w14:paraId="06DA6309" w14:textId="77777777" w:rsidR="002A2422" w:rsidRDefault="002A2422">
            <w:pPr>
              <w:spacing w:line="240" w:lineRule="auto"/>
              <w:rPr>
                <w:rFonts w:asciiTheme="minorHAnsi" w:eastAsia="Times New Roman" w:hAnsiTheme="minorHAnsi" w:cstheme="minorHAnsi"/>
                <w:sz w:val="20"/>
                <w:szCs w:val="20"/>
              </w:rPr>
            </w:pPr>
          </w:p>
        </w:tc>
        <w:tc>
          <w:tcPr>
            <w:tcW w:w="523" w:type="dxa"/>
            <w:tcBorders>
              <w:top w:val="single" w:sz="4" w:space="0" w:color="auto"/>
              <w:left w:val="nil"/>
              <w:bottom w:val="nil"/>
              <w:right w:val="nil"/>
            </w:tcBorders>
            <w:shd w:val="clear" w:color="auto" w:fill="auto"/>
            <w:noWrap/>
            <w:vAlign w:val="bottom"/>
          </w:tcPr>
          <w:p w14:paraId="0315F477" w14:textId="77777777" w:rsidR="002A2422" w:rsidRDefault="002A2422">
            <w:pPr>
              <w:spacing w:line="240" w:lineRule="auto"/>
              <w:rPr>
                <w:rFonts w:asciiTheme="minorHAnsi" w:eastAsia="Times New Roman" w:hAnsiTheme="minorHAnsi" w:cstheme="minorHAnsi"/>
                <w:sz w:val="20"/>
                <w:szCs w:val="20"/>
              </w:rPr>
            </w:pPr>
          </w:p>
        </w:tc>
        <w:tc>
          <w:tcPr>
            <w:tcW w:w="705" w:type="dxa"/>
            <w:tcBorders>
              <w:top w:val="single" w:sz="4" w:space="0" w:color="auto"/>
              <w:left w:val="nil"/>
              <w:bottom w:val="nil"/>
              <w:right w:val="nil"/>
            </w:tcBorders>
            <w:shd w:val="clear" w:color="auto" w:fill="auto"/>
            <w:noWrap/>
            <w:vAlign w:val="bottom"/>
          </w:tcPr>
          <w:p w14:paraId="7C502270" w14:textId="77777777" w:rsidR="002A2422" w:rsidRDefault="002A2422">
            <w:pPr>
              <w:spacing w:line="240" w:lineRule="auto"/>
              <w:rPr>
                <w:rFonts w:asciiTheme="minorHAnsi" w:eastAsia="Times New Roman" w:hAnsiTheme="minorHAnsi" w:cstheme="minorHAnsi"/>
                <w:sz w:val="20"/>
                <w:szCs w:val="20"/>
              </w:rPr>
            </w:pPr>
          </w:p>
        </w:tc>
        <w:tc>
          <w:tcPr>
            <w:tcW w:w="575" w:type="dxa"/>
            <w:tcBorders>
              <w:top w:val="single" w:sz="4" w:space="0" w:color="auto"/>
              <w:left w:val="nil"/>
              <w:bottom w:val="nil"/>
              <w:right w:val="nil"/>
            </w:tcBorders>
            <w:shd w:val="clear" w:color="auto" w:fill="auto"/>
            <w:noWrap/>
            <w:vAlign w:val="bottom"/>
          </w:tcPr>
          <w:p w14:paraId="29461F26" w14:textId="77777777" w:rsidR="002A2422" w:rsidRDefault="002A2422">
            <w:pPr>
              <w:spacing w:line="240" w:lineRule="auto"/>
              <w:rPr>
                <w:rFonts w:asciiTheme="minorHAnsi" w:eastAsia="Times New Roman" w:hAnsiTheme="minorHAnsi" w:cstheme="minorHAnsi"/>
                <w:sz w:val="20"/>
                <w:szCs w:val="20"/>
              </w:rPr>
            </w:pPr>
          </w:p>
        </w:tc>
        <w:tc>
          <w:tcPr>
            <w:tcW w:w="728" w:type="dxa"/>
            <w:tcBorders>
              <w:top w:val="single" w:sz="4" w:space="0" w:color="auto"/>
              <w:left w:val="nil"/>
              <w:bottom w:val="nil"/>
              <w:right w:val="nil"/>
            </w:tcBorders>
            <w:shd w:val="clear" w:color="auto" w:fill="auto"/>
            <w:noWrap/>
            <w:vAlign w:val="bottom"/>
          </w:tcPr>
          <w:p w14:paraId="0225B3F9" w14:textId="77777777" w:rsidR="002A2422" w:rsidRDefault="002A2422">
            <w:pPr>
              <w:spacing w:line="240" w:lineRule="auto"/>
              <w:rPr>
                <w:rFonts w:asciiTheme="minorHAnsi" w:eastAsia="Times New Roman" w:hAnsiTheme="minorHAnsi" w:cstheme="minorHAnsi"/>
                <w:sz w:val="20"/>
                <w:szCs w:val="20"/>
              </w:rPr>
            </w:pPr>
          </w:p>
        </w:tc>
        <w:tc>
          <w:tcPr>
            <w:tcW w:w="473" w:type="dxa"/>
            <w:tcBorders>
              <w:top w:val="single" w:sz="4" w:space="0" w:color="auto"/>
              <w:left w:val="nil"/>
              <w:bottom w:val="nil"/>
              <w:right w:val="nil"/>
            </w:tcBorders>
            <w:shd w:val="clear" w:color="auto" w:fill="auto"/>
            <w:noWrap/>
            <w:vAlign w:val="bottom"/>
          </w:tcPr>
          <w:p w14:paraId="7B760FA6" w14:textId="77777777" w:rsidR="002A2422" w:rsidRDefault="002A2422">
            <w:pPr>
              <w:spacing w:line="240" w:lineRule="auto"/>
              <w:rPr>
                <w:rFonts w:asciiTheme="minorHAnsi" w:eastAsia="Times New Roman" w:hAnsiTheme="minorHAnsi" w:cstheme="minorHAnsi"/>
                <w:sz w:val="20"/>
                <w:szCs w:val="20"/>
              </w:rPr>
            </w:pPr>
          </w:p>
        </w:tc>
        <w:tc>
          <w:tcPr>
            <w:tcW w:w="523" w:type="dxa"/>
            <w:tcBorders>
              <w:top w:val="single" w:sz="4" w:space="0" w:color="auto"/>
              <w:left w:val="nil"/>
              <w:bottom w:val="nil"/>
              <w:right w:val="nil"/>
            </w:tcBorders>
            <w:shd w:val="clear" w:color="auto" w:fill="auto"/>
            <w:noWrap/>
            <w:vAlign w:val="bottom"/>
          </w:tcPr>
          <w:p w14:paraId="7B435C59" w14:textId="77777777" w:rsidR="002A2422" w:rsidRDefault="002A2422">
            <w:pPr>
              <w:spacing w:line="240" w:lineRule="auto"/>
              <w:rPr>
                <w:rFonts w:asciiTheme="minorHAnsi" w:eastAsia="Times New Roman" w:hAnsiTheme="minorHAnsi" w:cstheme="minorHAnsi"/>
                <w:sz w:val="20"/>
                <w:szCs w:val="20"/>
              </w:rPr>
            </w:pPr>
          </w:p>
        </w:tc>
        <w:tc>
          <w:tcPr>
            <w:tcW w:w="523" w:type="dxa"/>
            <w:tcBorders>
              <w:top w:val="single" w:sz="4" w:space="0" w:color="auto"/>
              <w:left w:val="nil"/>
              <w:bottom w:val="nil"/>
              <w:right w:val="nil"/>
            </w:tcBorders>
            <w:shd w:val="clear" w:color="auto" w:fill="auto"/>
            <w:noWrap/>
            <w:vAlign w:val="bottom"/>
          </w:tcPr>
          <w:p w14:paraId="623ABBA4" w14:textId="77777777" w:rsidR="002A2422" w:rsidRDefault="002A2422">
            <w:pPr>
              <w:spacing w:line="240" w:lineRule="auto"/>
              <w:rPr>
                <w:rFonts w:asciiTheme="minorHAnsi" w:eastAsia="Times New Roman" w:hAnsiTheme="minorHAnsi" w:cstheme="minorHAnsi"/>
                <w:sz w:val="20"/>
                <w:szCs w:val="20"/>
              </w:rPr>
            </w:pPr>
          </w:p>
        </w:tc>
        <w:tc>
          <w:tcPr>
            <w:tcW w:w="523" w:type="dxa"/>
            <w:tcBorders>
              <w:top w:val="single" w:sz="4" w:space="0" w:color="auto"/>
              <w:left w:val="nil"/>
              <w:bottom w:val="nil"/>
              <w:right w:val="nil"/>
            </w:tcBorders>
            <w:shd w:val="clear" w:color="auto" w:fill="auto"/>
            <w:noWrap/>
            <w:vAlign w:val="bottom"/>
          </w:tcPr>
          <w:p w14:paraId="023D5F6B" w14:textId="77777777" w:rsidR="002A2422" w:rsidRDefault="002A2422">
            <w:pPr>
              <w:spacing w:line="240" w:lineRule="auto"/>
              <w:rPr>
                <w:rFonts w:asciiTheme="minorHAnsi" w:eastAsia="Times New Roman" w:hAnsiTheme="minorHAnsi" w:cstheme="minorHAnsi"/>
                <w:sz w:val="20"/>
                <w:szCs w:val="20"/>
              </w:rPr>
            </w:pPr>
          </w:p>
        </w:tc>
        <w:tc>
          <w:tcPr>
            <w:tcW w:w="523" w:type="dxa"/>
            <w:tcBorders>
              <w:top w:val="single" w:sz="4" w:space="0" w:color="auto"/>
              <w:left w:val="nil"/>
              <w:bottom w:val="nil"/>
              <w:right w:val="nil"/>
            </w:tcBorders>
            <w:shd w:val="clear" w:color="auto" w:fill="auto"/>
            <w:noWrap/>
            <w:vAlign w:val="bottom"/>
          </w:tcPr>
          <w:p w14:paraId="07824160" w14:textId="77777777" w:rsidR="002A2422" w:rsidRDefault="002A2422">
            <w:pPr>
              <w:spacing w:line="240" w:lineRule="auto"/>
              <w:rPr>
                <w:rFonts w:asciiTheme="minorHAnsi" w:eastAsia="Times New Roman" w:hAnsiTheme="minorHAnsi" w:cstheme="minorHAnsi"/>
                <w:sz w:val="20"/>
                <w:szCs w:val="20"/>
              </w:rPr>
            </w:pPr>
          </w:p>
        </w:tc>
      </w:tr>
      <w:tr w:rsidR="002A2422" w14:paraId="7C0F9222" w14:textId="77777777">
        <w:trPr>
          <w:trHeight w:val="250"/>
          <w:jc w:val="center"/>
        </w:trPr>
        <w:tc>
          <w:tcPr>
            <w:tcW w:w="11435" w:type="dxa"/>
            <w:gridSpan w:val="14"/>
            <w:tcBorders>
              <w:top w:val="nil"/>
              <w:left w:val="nil"/>
              <w:bottom w:val="nil"/>
              <w:right w:val="nil"/>
            </w:tcBorders>
            <w:shd w:val="clear" w:color="auto" w:fill="auto"/>
            <w:vAlign w:val="bottom"/>
          </w:tcPr>
          <w:p w14:paraId="05B140CC" w14:textId="77777777" w:rsidR="002A2422" w:rsidRDefault="003B3AD7">
            <w:pPr>
              <w:spacing w:line="240" w:lineRule="auto"/>
              <w:rPr>
                <w:rFonts w:asciiTheme="minorHAnsi" w:eastAsia="Times New Roman" w:hAnsiTheme="minorHAnsi" w:cstheme="minorHAnsi"/>
                <w:sz w:val="20"/>
                <w:szCs w:val="20"/>
              </w:rPr>
            </w:pPr>
            <w:r>
              <w:rPr>
                <w:rFonts w:asciiTheme="minorHAnsi" w:eastAsia="Times New Roman" w:hAnsiTheme="minorHAnsi" w:cstheme="minorHAnsi"/>
                <w:color w:val="000000"/>
                <w:sz w:val="20"/>
                <w:szCs w:val="20"/>
              </w:rPr>
              <w:t xml:space="preserve">Σημείωση: </w:t>
            </w:r>
            <w:r>
              <w:rPr>
                <w:rFonts w:asciiTheme="minorHAnsi" w:eastAsia="Times New Roman" w:hAnsiTheme="minorHAnsi" w:cstheme="minorHAnsi"/>
                <w:color w:val="4472C4"/>
                <w:sz w:val="20"/>
                <w:szCs w:val="20"/>
              </w:rPr>
              <w:t>***</w:t>
            </w:r>
            <w:r>
              <w:rPr>
                <w:rFonts w:asciiTheme="minorHAnsi" w:eastAsia="Times New Roman" w:hAnsiTheme="minorHAnsi" w:cstheme="minorHAnsi"/>
                <w:color w:val="000000"/>
                <w:sz w:val="20"/>
                <w:szCs w:val="20"/>
              </w:rPr>
              <w:t xml:space="preserve"> - πολύ ισχυρή συσχέτιση, </w:t>
            </w:r>
            <w:r>
              <w:rPr>
                <w:rFonts w:asciiTheme="minorHAnsi" w:eastAsia="Times New Roman" w:hAnsiTheme="minorHAnsi" w:cstheme="minorHAnsi"/>
                <w:color w:val="4472C4"/>
                <w:sz w:val="20"/>
                <w:szCs w:val="20"/>
              </w:rPr>
              <w:t>**</w:t>
            </w:r>
            <w:r>
              <w:rPr>
                <w:rFonts w:asciiTheme="minorHAnsi" w:eastAsia="Times New Roman" w:hAnsiTheme="minorHAnsi" w:cstheme="minorHAnsi"/>
                <w:color w:val="000000"/>
                <w:sz w:val="20"/>
                <w:szCs w:val="20"/>
              </w:rPr>
              <w:t xml:space="preserve"> - ισχυρή συσχέτιση, </w:t>
            </w:r>
            <w:r>
              <w:rPr>
                <w:rFonts w:asciiTheme="minorHAnsi" w:eastAsia="Times New Roman" w:hAnsiTheme="minorHAnsi" w:cstheme="minorHAnsi"/>
                <w:color w:val="4472C4"/>
                <w:sz w:val="20"/>
                <w:szCs w:val="20"/>
              </w:rPr>
              <w:t>*</w:t>
            </w:r>
            <w:r>
              <w:rPr>
                <w:rFonts w:asciiTheme="minorHAnsi" w:eastAsia="Times New Roman" w:hAnsiTheme="minorHAnsi" w:cstheme="minorHAnsi"/>
                <w:color w:val="000000"/>
                <w:sz w:val="20"/>
                <w:szCs w:val="20"/>
              </w:rPr>
              <w:t xml:space="preserve"> - συσχέτιση</w:t>
            </w:r>
          </w:p>
        </w:tc>
      </w:tr>
    </w:tbl>
    <w:p w14:paraId="7C661780" w14:textId="77777777" w:rsidR="002A2422" w:rsidRDefault="002A2422">
      <w:pPr>
        <w:spacing w:after="160" w:line="259" w:lineRule="auto"/>
        <w:rPr>
          <w:rFonts w:asciiTheme="minorHAnsi" w:eastAsia="Calibri" w:hAnsiTheme="minorHAnsi" w:cstheme="minorHAnsi"/>
          <w:sz w:val="24"/>
          <w:szCs w:val="24"/>
          <w:lang w:eastAsia="en-US"/>
        </w:rPr>
      </w:pPr>
    </w:p>
    <w:p w14:paraId="73A0765E" w14:textId="77777777" w:rsidR="002A2422" w:rsidRDefault="003B3AD7">
      <w:pPr>
        <w:pStyle w:val="4"/>
        <w:rPr>
          <w:rFonts w:asciiTheme="minorHAnsi" w:eastAsia="Calibri" w:hAnsiTheme="minorHAnsi" w:cstheme="minorHAnsi"/>
          <w:lang w:eastAsia="en-US"/>
        </w:rPr>
      </w:pPr>
      <w:bookmarkStart w:id="27" w:name="_Toc68011188"/>
      <w:r>
        <w:rPr>
          <w:lang w:eastAsia="en-US"/>
        </w:rPr>
        <w:t>Πράσινη Ανάπτυξη</w:t>
      </w:r>
      <w:bookmarkEnd w:id="27"/>
    </w:p>
    <w:p w14:paraId="6DE9F180" w14:textId="77777777" w:rsidR="002A2422" w:rsidRDefault="003B3AD7">
      <w:pPr>
        <w:pStyle w:val="4"/>
        <w:numPr>
          <w:ilvl w:val="3"/>
          <w:numId w:val="0"/>
        </w:numPr>
        <w:spacing w:line="360" w:lineRule="auto"/>
        <w:rPr>
          <w:rFonts w:asciiTheme="minorHAnsi" w:eastAsia="Calibri" w:hAnsiTheme="minorHAnsi" w:cstheme="minorHAnsi"/>
          <w:b w:val="0"/>
          <w:bCs w:val="0"/>
          <w:lang w:eastAsia="en-US"/>
        </w:rPr>
      </w:pPr>
      <w:r>
        <w:rPr>
          <w:rFonts w:asciiTheme="minorHAnsi" w:eastAsia="Calibri" w:hAnsiTheme="minorHAnsi" w:cstheme="minorHAnsi"/>
          <w:b w:val="0"/>
          <w:bCs w:val="0"/>
          <w:lang w:eastAsia="en-US"/>
        </w:rPr>
        <w:t>Για να είναι διατηρήσιμη η ανάπτυξη μιας οικονομίας και να πετυχαίνει υψηλές επιδόσεις σε όρους κοινωνικής ευημερίας, απαραίτητη είναι η μέριμνα για την ορθή διαχείριση των πόρων και την προστασία του περιβάλλοντος. Άλλωστε, η αλλαγή του κλίματος αποτελεί τη μεγαλύτερη πρόκληση που θα αντιμετωπίσει η ανθρωπότητα τα επόμενα χρόνια, επηρεάζοντας κάθε πτυχή της ανθρώπινης δραστηριότητας. Για αυτόν τον λόγο, η πράσινη ανάπτυξη αποτελεί έναν από τους πέντε βασικούς πυλώνες του αναπτυξιακού σχεδιασμού του ΕΠΑ.</w:t>
      </w:r>
    </w:p>
    <w:p w14:paraId="42E2B75B" w14:textId="77777777" w:rsidR="002A2422" w:rsidRDefault="003B3AD7">
      <w:pPr>
        <w:spacing w:before="40" w:after="40" w:line="300" w:lineRule="auto"/>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Ο </w:t>
      </w:r>
      <w:r>
        <w:rPr>
          <w:rFonts w:asciiTheme="minorHAnsi" w:eastAsia="Calibri" w:hAnsiTheme="minorHAnsi" w:cstheme="minorHAnsi"/>
          <w:sz w:val="24"/>
          <w:szCs w:val="24"/>
          <w:u w:val="single"/>
          <w:lang w:eastAsia="en-US"/>
        </w:rPr>
        <w:t>στόχος</w:t>
      </w:r>
      <w:r>
        <w:rPr>
          <w:rFonts w:asciiTheme="minorHAnsi" w:eastAsia="Calibri" w:hAnsiTheme="minorHAnsi" w:cstheme="minorHAnsi"/>
          <w:sz w:val="24"/>
          <w:szCs w:val="24"/>
          <w:lang w:eastAsia="en-US"/>
        </w:rPr>
        <w:t xml:space="preserve"> της πράσινης ανάπτυξης εξειδικεύεται σε τρεις επιμέρους ειδικούς στόχους:</w:t>
      </w:r>
    </w:p>
    <w:p w14:paraId="0EA101A4" w14:textId="77777777" w:rsidR="002A2422" w:rsidRDefault="003B3AD7">
      <w:pPr>
        <w:numPr>
          <w:ilvl w:val="0"/>
          <w:numId w:val="4"/>
        </w:numPr>
        <w:spacing w:before="40" w:after="40" w:line="300" w:lineRule="auto"/>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Μετάβαση σε κυκλική οικονομία</w:t>
      </w:r>
    </w:p>
    <w:p w14:paraId="51C8B36A" w14:textId="77777777" w:rsidR="002A2422" w:rsidRDefault="003B3AD7">
      <w:pPr>
        <w:numPr>
          <w:ilvl w:val="0"/>
          <w:numId w:val="4"/>
        </w:numPr>
        <w:spacing w:before="40" w:after="40" w:line="300" w:lineRule="auto"/>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Προστασία του περιβάλλοντος</w:t>
      </w:r>
    </w:p>
    <w:p w14:paraId="1B97C440" w14:textId="77777777" w:rsidR="002A2422" w:rsidRDefault="003B3AD7">
      <w:pPr>
        <w:numPr>
          <w:ilvl w:val="0"/>
          <w:numId w:val="4"/>
        </w:numPr>
        <w:spacing w:before="40" w:after="40" w:line="300" w:lineRule="auto"/>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Αντιμετώπιση της κλιματικής αλλαγής</w:t>
      </w:r>
    </w:p>
    <w:p w14:paraId="28507D74" w14:textId="77777777" w:rsidR="002A2422" w:rsidRDefault="003B3AD7">
      <w:pPr>
        <w:spacing w:after="1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Αναδεικνύονται δεκατρείς προτεραιότητες στην κατεύθυνση της πράσινης ανάπτυξης. Ειδικότερα προτεραιότητες που σχετίζονται με τον πολιτισμό είναι:</w:t>
      </w:r>
    </w:p>
    <w:p w14:paraId="32E99971" w14:textId="77777777" w:rsidR="002A2422" w:rsidRDefault="003B3AD7">
      <w:pPr>
        <w:spacing w:after="1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α) η πρόληψη και διαχείριση κινδύνων και</w:t>
      </w:r>
    </w:p>
    <w:p w14:paraId="46B056C6" w14:textId="77777777" w:rsidR="002A2422" w:rsidRDefault="003B3AD7">
      <w:pPr>
        <w:spacing w:after="1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 β) η ανάδειξη, προστασία και αξιοποίηση της φυσικής κληρονομιάς.</w:t>
      </w:r>
    </w:p>
    <w:p w14:paraId="75FDB1C8" w14:textId="77777777" w:rsidR="002A2422" w:rsidRDefault="003B3AD7">
      <w:pPr>
        <w:spacing w:after="160"/>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Επίσης, για τον αθλητισμό είναι:</w:t>
      </w:r>
    </w:p>
    <w:p w14:paraId="209A4D47" w14:textId="77777777" w:rsidR="002A2422" w:rsidRDefault="003B3AD7">
      <w:pPr>
        <w:spacing w:after="160"/>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α) η ενεργειακή απόδοση,</w:t>
      </w:r>
    </w:p>
    <w:p w14:paraId="5A936DF0" w14:textId="77777777" w:rsidR="002A2422" w:rsidRDefault="003B3AD7">
      <w:pPr>
        <w:spacing w:after="160"/>
        <w:rPr>
          <w:rFonts w:asciiTheme="minorHAnsi" w:eastAsia="Calibri" w:hAnsiTheme="minorHAnsi" w:cstheme="minorHAnsi"/>
          <w:sz w:val="24"/>
          <w:szCs w:val="24"/>
          <w:lang w:eastAsia="en-US"/>
        </w:rPr>
      </w:pPr>
      <w:r>
        <w:rPr>
          <w:rFonts w:asciiTheme="minorHAnsi" w:eastAsia="Times New Roman" w:hAnsiTheme="minorHAnsi" w:cstheme="minorHAnsi"/>
          <w:color w:val="000000"/>
          <w:sz w:val="24"/>
          <w:szCs w:val="24"/>
        </w:rPr>
        <w:t xml:space="preserve">β) </w:t>
      </w:r>
      <w:r>
        <w:rPr>
          <w:rFonts w:asciiTheme="minorHAnsi" w:eastAsia="Calibri" w:hAnsiTheme="minorHAnsi" w:cstheme="minorHAnsi"/>
          <w:sz w:val="24"/>
          <w:szCs w:val="24"/>
          <w:lang w:eastAsia="en-US"/>
        </w:rPr>
        <w:t>η πρόληψη και διαχείριση κινδύνων και</w:t>
      </w:r>
    </w:p>
    <w:p w14:paraId="64ED8586" w14:textId="77777777" w:rsidR="002A2422" w:rsidRDefault="003B3AD7">
      <w:pPr>
        <w:spacing w:after="1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γ) </w:t>
      </w:r>
      <w:r>
        <w:rPr>
          <w:rFonts w:asciiTheme="minorHAnsi" w:eastAsia="Times New Roman" w:hAnsiTheme="minorHAnsi" w:cstheme="minorHAnsi"/>
          <w:color w:val="000000"/>
          <w:sz w:val="24"/>
          <w:szCs w:val="24"/>
        </w:rPr>
        <w:t>Στήριξη φιλικών προς το περιβάλλον διεργασιών παραγωγής &amp; αποδοτικής χρήσης πόρων</w:t>
      </w:r>
    </w:p>
    <w:tbl>
      <w:tblPr>
        <w:tblW w:w="11586" w:type="dxa"/>
        <w:jc w:val="center"/>
        <w:tblLook w:val="04A0" w:firstRow="1" w:lastRow="0" w:firstColumn="1" w:lastColumn="0" w:noHBand="0" w:noVBand="1"/>
      </w:tblPr>
      <w:tblGrid>
        <w:gridCol w:w="4900"/>
        <w:gridCol w:w="545"/>
        <w:gridCol w:w="545"/>
        <w:gridCol w:w="545"/>
        <w:gridCol w:w="498"/>
        <w:gridCol w:w="498"/>
        <w:gridCol w:w="498"/>
        <w:gridCol w:w="498"/>
        <w:gridCol w:w="563"/>
        <w:gridCol w:w="498"/>
        <w:gridCol w:w="498"/>
        <w:gridCol w:w="500"/>
        <w:gridCol w:w="500"/>
        <w:gridCol w:w="500"/>
      </w:tblGrid>
      <w:tr w:rsidR="002A2422" w14:paraId="49602C26" w14:textId="77777777">
        <w:trPr>
          <w:trHeight w:val="300"/>
          <w:jc w:val="center"/>
        </w:trPr>
        <w:tc>
          <w:tcPr>
            <w:tcW w:w="4900" w:type="dxa"/>
            <w:vMerge w:val="restart"/>
            <w:tcBorders>
              <w:top w:val="single" w:sz="4" w:space="0" w:color="auto"/>
              <w:left w:val="single" w:sz="4" w:space="0" w:color="auto"/>
              <w:bottom w:val="single" w:sz="4" w:space="0" w:color="auto"/>
              <w:right w:val="nil"/>
            </w:tcBorders>
            <w:shd w:val="clear" w:color="auto" w:fill="auto"/>
            <w:noWrap/>
          </w:tcPr>
          <w:p w14:paraId="072850C2"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Προτεραιότητες και ενδεικτικά έργα</w:t>
            </w:r>
          </w:p>
        </w:tc>
        <w:tc>
          <w:tcPr>
            <w:tcW w:w="163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0AEC53F"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Ειδικοί στόχοι</w:t>
            </w:r>
          </w:p>
        </w:tc>
        <w:tc>
          <w:tcPr>
            <w:tcW w:w="3551" w:type="dxa"/>
            <w:gridSpan w:val="7"/>
            <w:tcBorders>
              <w:top w:val="single" w:sz="4" w:space="0" w:color="auto"/>
              <w:left w:val="nil"/>
              <w:bottom w:val="single" w:sz="4" w:space="0" w:color="auto"/>
              <w:right w:val="single" w:sz="4" w:space="0" w:color="auto"/>
            </w:tcBorders>
            <w:shd w:val="clear" w:color="auto" w:fill="auto"/>
            <w:noWrap/>
            <w:vAlign w:val="bottom"/>
          </w:tcPr>
          <w:p w14:paraId="3BD1C027"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Λοιπές προκλήσεις</w:t>
            </w:r>
          </w:p>
        </w:tc>
        <w:tc>
          <w:tcPr>
            <w:tcW w:w="1500" w:type="dxa"/>
            <w:gridSpan w:val="3"/>
            <w:tcBorders>
              <w:top w:val="single" w:sz="4" w:space="0" w:color="auto"/>
              <w:left w:val="nil"/>
              <w:bottom w:val="single" w:sz="4" w:space="0" w:color="auto"/>
              <w:right w:val="single" w:sz="4" w:space="0" w:color="auto"/>
            </w:tcBorders>
            <w:shd w:val="clear" w:color="auto" w:fill="auto"/>
            <w:noWrap/>
            <w:vAlign w:val="bottom"/>
          </w:tcPr>
          <w:p w14:paraId="78C56FD5"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Δυνατότητες</w:t>
            </w:r>
          </w:p>
        </w:tc>
      </w:tr>
      <w:tr w:rsidR="002A2422" w14:paraId="1BC64119" w14:textId="77777777">
        <w:trPr>
          <w:trHeight w:val="3570"/>
          <w:jc w:val="center"/>
        </w:trPr>
        <w:tc>
          <w:tcPr>
            <w:tcW w:w="4900" w:type="dxa"/>
            <w:vMerge/>
            <w:tcBorders>
              <w:top w:val="single" w:sz="4" w:space="0" w:color="auto"/>
              <w:left w:val="single" w:sz="4" w:space="0" w:color="auto"/>
              <w:bottom w:val="single" w:sz="4" w:space="0" w:color="auto"/>
              <w:right w:val="nil"/>
            </w:tcBorders>
            <w:vAlign w:val="center"/>
          </w:tcPr>
          <w:p w14:paraId="098A8BB2" w14:textId="77777777" w:rsidR="002A2422" w:rsidRDefault="002A2422">
            <w:pPr>
              <w:spacing w:line="240" w:lineRule="auto"/>
              <w:rPr>
                <w:rFonts w:asciiTheme="minorHAnsi" w:eastAsia="Times New Roman" w:hAnsiTheme="minorHAnsi" w:cstheme="minorHAnsi"/>
                <w:color w:val="000000"/>
                <w:sz w:val="20"/>
                <w:szCs w:val="20"/>
              </w:rPr>
            </w:pPr>
          </w:p>
        </w:tc>
        <w:tc>
          <w:tcPr>
            <w:tcW w:w="54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14:paraId="231DCFA2"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Μετάβαση σε κυκλική οικονομία</w:t>
            </w:r>
          </w:p>
        </w:tc>
        <w:tc>
          <w:tcPr>
            <w:tcW w:w="545" w:type="dxa"/>
            <w:tcBorders>
              <w:top w:val="single" w:sz="4" w:space="0" w:color="auto"/>
              <w:left w:val="nil"/>
              <w:bottom w:val="single" w:sz="4" w:space="0" w:color="auto"/>
              <w:right w:val="single" w:sz="4" w:space="0" w:color="auto"/>
            </w:tcBorders>
            <w:shd w:val="clear" w:color="auto" w:fill="auto"/>
            <w:noWrap/>
            <w:textDirection w:val="btLr"/>
            <w:vAlign w:val="bottom"/>
          </w:tcPr>
          <w:p w14:paraId="49B33485"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Προστασία του περιβάλλοντος</w:t>
            </w:r>
          </w:p>
        </w:tc>
        <w:tc>
          <w:tcPr>
            <w:tcW w:w="545" w:type="dxa"/>
            <w:tcBorders>
              <w:top w:val="single" w:sz="4" w:space="0" w:color="auto"/>
              <w:left w:val="nil"/>
              <w:bottom w:val="single" w:sz="4" w:space="0" w:color="auto"/>
              <w:right w:val="single" w:sz="4" w:space="0" w:color="auto"/>
            </w:tcBorders>
            <w:shd w:val="clear" w:color="auto" w:fill="auto"/>
            <w:noWrap/>
            <w:textDirection w:val="btLr"/>
            <w:vAlign w:val="bottom"/>
          </w:tcPr>
          <w:p w14:paraId="7AF2B4C5"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Αντιμετώπιση κλιματικής αλλαγής</w:t>
            </w:r>
          </w:p>
        </w:tc>
        <w:tc>
          <w:tcPr>
            <w:tcW w:w="498" w:type="dxa"/>
            <w:tcBorders>
              <w:top w:val="single" w:sz="4" w:space="0" w:color="auto"/>
              <w:left w:val="nil"/>
              <w:bottom w:val="single" w:sz="4" w:space="0" w:color="auto"/>
              <w:right w:val="single" w:sz="4" w:space="0" w:color="auto"/>
            </w:tcBorders>
            <w:shd w:val="clear" w:color="auto" w:fill="auto"/>
            <w:noWrap/>
            <w:textDirection w:val="btLr"/>
            <w:vAlign w:val="bottom"/>
          </w:tcPr>
          <w:p w14:paraId="4C0DDD55"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Κοινωνικές συνέπειες</w:t>
            </w:r>
          </w:p>
        </w:tc>
        <w:tc>
          <w:tcPr>
            <w:tcW w:w="498" w:type="dxa"/>
            <w:tcBorders>
              <w:top w:val="single" w:sz="4" w:space="0" w:color="auto"/>
              <w:left w:val="nil"/>
              <w:bottom w:val="single" w:sz="4" w:space="0" w:color="auto"/>
              <w:right w:val="single" w:sz="4" w:space="0" w:color="auto"/>
            </w:tcBorders>
            <w:shd w:val="clear" w:color="auto" w:fill="auto"/>
            <w:noWrap/>
            <w:textDirection w:val="btLr"/>
            <w:vAlign w:val="bottom"/>
          </w:tcPr>
          <w:p w14:paraId="4AF0D1C8"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Δημοσιονομική πειθαρχία</w:t>
            </w:r>
          </w:p>
        </w:tc>
        <w:tc>
          <w:tcPr>
            <w:tcW w:w="498" w:type="dxa"/>
            <w:tcBorders>
              <w:top w:val="single" w:sz="4" w:space="0" w:color="auto"/>
              <w:left w:val="nil"/>
              <w:bottom w:val="single" w:sz="4" w:space="0" w:color="auto"/>
              <w:right w:val="single" w:sz="4" w:space="0" w:color="auto"/>
            </w:tcBorders>
            <w:shd w:val="clear" w:color="auto" w:fill="auto"/>
            <w:noWrap/>
            <w:textDirection w:val="btLr"/>
            <w:vAlign w:val="bottom"/>
          </w:tcPr>
          <w:p w14:paraId="13ACBF93"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Αλλαγή παραγωγικού υποδείγματος</w:t>
            </w:r>
          </w:p>
        </w:tc>
        <w:tc>
          <w:tcPr>
            <w:tcW w:w="498" w:type="dxa"/>
            <w:tcBorders>
              <w:top w:val="single" w:sz="4" w:space="0" w:color="auto"/>
              <w:left w:val="nil"/>
              <w:bottom w:val="single" w:sz="4" w:space="0" w:color="auto"/>
              <w:right w:val="single" w:sz="4" w:space="0" w:color="auto"/>
            </w:tcBorders>
            <w:shd w:val="clear" w:color="auto" w:fill="auto"/>
            <w:noWrap/>
            <w:textDirection w:val="btLr"/>
            <w:vAlign w:val="bottom"/>
          </w:tcPr>
          <w:p w14:paraId="653E1CA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Τεχνολογικές εξελίξεις</w:t>
            </w:r>
          </w:p>
        </w:tc>
        <w:tc>
          <w:tcPr>
            <w:tcW w:w="563" w:type="dxa"/>
            <w:tcBorders>
              <w:top w:val="single" w:sz="4" w:space="0" w:color="auto"/>
              <w:left w:val="nil"/>
              <w:bottom w:val="single" w:sz="4" w:space="0" w:color="auto"/>
              <w:right w:val="single" w:sz="4" w:space="0" w:color="auto"/>
            </w:tcBorders>
            <w:shd w:val="clear" w:color="auto" w:fill="auto"/>
            <w:noWrap/>
            <w:textDirection w:val="btLr"/>
            <w:vAlign w:val="bottom"/>
          </w:tcPr>
          <w:p w14:paraId="1ADF147B"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Κλιματική αλλαγή / περιβάλλον</w:t>
            </w:r>
          </w:p>
        </w:tc>
        <w:tc>
          <w:tcPr>
            <w:tcW w:w="498" w:type="dxa"/>
            <w:tcBorders>
              <w:top w:val="single" w:sz="4" w:space="0" w:color="auto"/>
              <w:left w:val="nil"/>
              <w:bottom w:val="single" w:sz="4" w:space="0" w:color="auto"/>
              <w:right w:val="single" w:sz="4" w:space="0" w:color="auto"/>
            </w:tcBorders>
            <w:shd w:val="clear" w:color="auto" w:fill="auto"/>
            <w:noWrap/>
            <w:textDirection w:val="btLr"/>
            <w:vAlign w:val="bottom"/>
          </w:tcPr>
          <w:p w14:paraId="7B218148"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Δημογραφικές εξελίξεις</w:t>
            </w:r>
          </w:p>
        </w:tc>
        <w:tc>
          <w:tcPr>
            <w:tcW w:w="498" w:type="dxa"/>
            <w:tcBorders>
              <w:top w:val="single" w:sz="4" w:space="0" w:color="auto"/>
              <w:left w:val="nil"/>
              <w:bottom w:val="single" w:sz="4" w:space="0" w:color="auto"/>
              <w:right w:val="single" w:sz="4" w:space="0" w:color="auto"/>
            </w:tcBorders>
            <w:shd w:val="clear" w:color="auto" w:fill="auto"/>
            <w:noWrap/>
            <w:textDirection w:val="btLr"/>
            <w:vAlign w:val="bottom"/>
          </w:tcPr>
          <w:p w14:paraId="4F6995C0"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Λοιπές προκλήσεις</w:t>
            </w:r>
          </w:p>
        </w:tc>
        <w:tc>
          <w:tcPr>
            <w:tcW w:w="500" w:type="dxa"/>
            <w:tcBorders>
              <w:top w:val="single" w:sz="4" w:space="0" w:color="auto"/>
              <w:left w:val="nil"/>
              <w:bottom w:val="single" w:sz="4" w:space="0" w:color="auto"/>
              <w:right w:val="single" w:sz="4" w:space="0" w:color="auto"/>
            </w:tcBorders>
            <w:shd w:val="clear" w:color="auto" w:fill="auto"/>
            <w:noWrap/>
            <w:textDirection w:val="btLr"/>
            <w:vAlign w:val="bottom"/>
          </w:tcPr>
          <w:p w14:paraId="20A2C47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Γεωγραφική θέση</w:t>
            </w:r>
          </w:p>
        </w:tc>
        <w:tc>
          <w:tcPr>
            <w:tcW w:w="500" w:type="dxa"/>
            <w:tcBorders>
              <w:top w:val="single" w:sz="4" w:space="0" w:color="auto"/>
              <w:left w:val="nil"/>
              <w:bottom w:val="single" w:sz="4" w:space="0" w:color="auto"/>
              <w:right w:val="single" w:sz="4" w:space="0" w:color="auto"/>
            </w:tcBorders>
            <w:shd w:val="clear" w:color="auto" w:fill="auto"/>
            <w:noWrap/>
            <w:textDirection w:val="btLr"/>
            <w:vAlign w:val="bottom"/>
          </w:tcPr>
          <w:p w14:paraId="1F58ABCE"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Φυσικό περιβάλλον</w:t>
            </w:r>
          </w:p>
        </w:tc>
        <w:tc>
          <w:tcPr>
            <w:tcW w:w="500" w:type="dxa"/>
            <w:tcBorders>
              <w:top w:val="single" w:sz="4" w:space="0" w:color="auto"/>
              <w:left w:val="nil"/>
              <w:bottom w:val="single" w:sz="4" w:space="0" w:color="auto"/>
              <w:right w:val="single" w:sz="4" w:space="0" w:color="auto"/>
            </w:tcBorders>
            <w:shd w:val="clear" w:color="auto" w:fill="auto"/>
            <w:noWrap/>
            <w:textDirection w:val="btLr"/>
            <w:vAlign w:val="bottom"/>
          </w:tcPr>
          <w:p w14:paraId="27C3C0C0"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Πολιτιστική κληρονομιά</w:t>
            </w:r>
          </w:p>
        </w:tc>
      </w:tr>
      <w:tr w:rsidR="002A2422" w14:paraId="38198DE9" w14:textId="77777777">
        <w:trPr>
          <w:trHeight w:val="300"/>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bottom"/>
          </w:tcPr>
          <w:p w14:paraId="1FBC0A2A"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b/>
                <w:bCs/>
                <w:color w:val="000000"/>
                <w:sz w:val="20"/>
                <w:szCs w:val="20"/>
              </w:rPr>
              <w:t>Ενεργειακή απόδοση</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0BDEBBF0"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7ADC8F05"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7A67B2CA"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7742F8E0"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5F528F33"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7D4C9208"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7D8B3C6E"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bottom"/>
          </w:tcPr>
          <w:p w14:paraId="619A4E28"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77B53AA8"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7E982EF8"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2F4EEEAF"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02277C88"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3FE10F6D"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r>
      <w:tr w:rsidR="002A2422" w14:paraId="09CEC8D9" w14:textId="77777777">
        <w:trPr>
          <w:trHeight w:val="300"/>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bottom"/>
          </w:tcPr>
          <w:p w14:paraId="4765EEC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Στήριξη ΑΠΕ – συμπαραγωγή</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2C86E911"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4EA80CAA"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1FFAA748"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6DF0409B"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34EB772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48466B3B"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508C9764"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63" w:type="dxa"/>
            <w:tcBorders>
              <w:top w:val="single" w:sz="4" w:space="0" w:color="auto"/>
              <w:left w:val="nil"/>
              <w:bottom w:val="single" w:sz="4" w:space="0" w:color="auto"/>
              <w:right w:val="single" w:sz="4" w:space="0" w:color="auto"/>
            </w:tcBorders>
            <w:shd w:val="clear" w:color="auto" w:fill="auto"/>
            <w:noWrap/>
            <w:vAlign w:val="bottom"/>
          </w:tcPr>
          <w:p w14:paraId="3C98B2D1"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4910CD73"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24A6803B"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22922DE7"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5CF7C1EB"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27D74DC2"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43D57212" w14:textId="77777777">
        <w:trPr>
          <w:trHeight w:val="600"/>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bottom"/>
          </w:tcPr>
          <w:p w14:paraId="5CFBD73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Απεξάρτηση από ορυκτά καύσιμα - ενεργειακή αναβάθμιση</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447D3805"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12DAF122"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74616C9B"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58906C8B"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37A1029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36EE0D03"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65760CF8"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bottom"/>
          </w:tcPr>
          <w:p w14:paraId="7CDC80F9"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324CCC77"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474CBC62"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65E3DC8F"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7191356F"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6ABBDB35"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7C89F9F9" w14:textId="77777777">
        <w:trPr>
          <w:trHeight w:val="300"/>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bottom"/>
          </w:tcPr>
          <w:p w14:paraId="6E85F301"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Πρόληψη &amp; διαχείριση κινδύνων</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23C85EBB"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58E6FF07"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30D29A3E"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1A74092D"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7090D637"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7F76F822"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121A2FCF"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bottom"/>
          </w:tcPr>
          <w:p w14:paraId="11A8CAA1"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13723F55"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20F4663D"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5B02FB24"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1C696AC6"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1331E77A"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r>
      <w:tr w:rsidR="002A2422" w14:paraId="743CAA2B" w14:textId="77777777">
        <w:trPr>
          <w:trHeight w:val="300"/>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bottom"/>
          </w:tcPr>
          <w:p w14:paraId="5447D0A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Ανάπτυξη υποδομών προστασίας</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621D433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17A8113D"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25AA017E"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0607F852"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7ACE2871"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51F28244"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5F7C576C"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bottom"/>
          </w:tcPr>
          <w:p w14:paraId="4032B994"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7506397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0AD71D6A"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79903229"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2BE15A1D"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7F4AD0E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41421D82" w14:textId="77777777">
        <w:trPr>
          <w:trHeight w:val="300"/>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bottom"/>
          </w:tcPr>
          <w:p w14:paraId="565930D3"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Παροχή πόσιμου νερού &amp; διαχείριση υδάτων</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36B2FC93"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0B9058CA"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3BAAF880"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290C2C67"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53104674"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326BC495"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6B6145F1"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bottom"/>
          </w:tcPr>
          <w:p w14:paraId="0DC52923"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5FC7DD7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1188B99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45456E2A"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13A00898"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7D765FB2"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3FB98B51" w14:textId="77777777">
        <w:trPr>
          <w:trHeight w:val="300"/>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bottom"/>
          </w:tcPr>
          <w:p w14:paraId="2072E928"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Διαχείριση στερεών και υγρών αποβλήτων</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736770B4"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625BAD0A"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720A3804"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0D13D410"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4CBB1EC9"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4198EEF8"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231473CA"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bottom"/>
          </w:tcPr>
          <w:p w14:paraId="62AAE219"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50B0D17E"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2A61A4A5"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7EF6078F"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3F8CECF0"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1C6A93E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3202582C" w14:textId="77777777">
        <w:trPr>
          <w:trHeight w:val="600"/>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bottom"/>
          </w:tcPr>
          <w:p w14:paraId="4C22804F"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b/>
                <w:bCs/>
                <w:color w:val="000000"/>
                <w:sz w:val="20"/>
                <w:szCs w:val="20"/>
              </w:rPr>
              <w:t>Στήριξη φιλικών προς το περιβάλλον διεργασιών παραγωγής &amp; αποδοτικής χρήσης πόρων</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62A14764"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603CA85C"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1213B3E1"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18E88C2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2C550CE8"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55DCF33A"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186BD4D6"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bottom"/>
          </w:tcPr>
          <w:p w14:paraId="7BD0C445"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1306838E"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7BF1950E"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7DF03C4F"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04469737"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2323DDD7"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5ED1C8CE" w14:textId="77777777">
        <w:trPr>
          <w:trHeight w:val="600"/>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bottom"/>
          </w:tcPr>
          <w:p w14:paraId="1EFD6C60"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Ανάδειξη, προστασία και αξιοποίηση της φυσικής κληρονομιάς</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7B3350EC"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7AB47AD2"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78D8CBB0"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300B1374"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33F60E00"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0183ED12"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3D2A8190"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bottom"/>
          </w:tcPr>
          <w:p w14:paraId="22B949BB"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394E56C3"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0D6349CA"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351280C8"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21E34D8D"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2822EC59"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w:t>
            </w:r>
          </w:p>
        </w:tc>
      </w:tr>
      <w:tr w:rsidR="002A2422" w14:paraId="24189C99" w14:textId="77777777">
        <w:trPr>
          <w:trHeight w:val="300"/>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bottom"/>
          </w:tcPr>
          <w:p w14:paraId="311162B3"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Πράσινη επιχειρηματικότητα</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03043B08"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545958C1"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02AEBC76"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0480A4E8"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564307F0"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649460BC"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2B50060F"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bottom"/>
          </w:tcPr>
          <w:p w14:paraId="3805274B"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38C14AC7"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6A5E88A9"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47ADA977"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6C4B0D8C"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1653B377"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5A072121" w14:textId="77777777">
        <w:trPr>
          <w:trHeight w:val="300"/>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bottom"/>
          </w:tcPr>
          <w:p w14:paraId="5F3C4E2E"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Πράσινες πόλεις</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2790282F"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60625502"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376427EF"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185CDF7B"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3DF63B7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2A550107"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1A15427C"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bottom"/>
          </w:tcPr>
          <w:p w14:paraId="3CA459D3"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0816D823"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6F6E5A1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7782A746"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6A582BE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539A1AE8"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2AF82879" w14:textId="77777777">
        <w:trPr>
          <w:trHeight w:val="600"/>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bottom"/>
          </w:tcPr>
          <w:p w14:paraId="5E8EC993"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Παροχή πόσιμου νερού &amp; διαχείριση υδάτων και υγρών αποβλήτων</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26D7FD65"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4720E23C"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5393E9C4"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6C7BF977"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6B1E2E55"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7FE4667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783CD419"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bottom"/>
          </w:tcPr>
          <w:p w14:paraId="50A1CBAD"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6A0F8AC8"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714BF9D0"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0ABB94A1"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5941A5E6"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46865859"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04F190DB" w14:textId="77777777">
        <w:trPr>
          <w:trHeight w:val="300"/>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bottom"/>
          </w:tcPr>
          <w:p w14:paraId="0D35712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Διαχείριση στερεών αποβλήτων</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56423AFB"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45DDA545"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631A2C18"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7E1A815C"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59E1B529"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42EFC0C8"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02C39F2A"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bottom"/>
          </w:tcPr>
          <w:p w14:paraId="25BDADF4" w14:textId="77777777" w:rsidR="002A2422" w:rsidRDefault="003B3AD7">
            <w:pPr>
              <w:spacing w:line="240" w:lineRule="auto"/>
              <w:rPr>
                <w:rFonts w:asciiTheme="minorHAnsi" w:eastAsia="Times New Roman" w:hAnsiTheme="minorHAnsi" w:cstheme="minorHAnsi"/>
                <w:b/>
                <w:bCs/>
                <w:color w:val="0070C0"/>
                <w:sz w:val="20"/>
                <w:szCs w:val="20"/>
              </w:rPr>
            </w:pPr>
            <w:r>
              <w:rPr>
                <w:rFonts w:asciiTheme="minorHAnsi" w:eastAsia="Times New Roman" w:hAnsiTheme="minorHAnsi" w:cstheme="minorHAnsi"/>
                <w:b/>
                <w:bCs/>
                <w:color w:val="0070C0"/>
                <w:sz w:val="20"/>
                <w:szCs w:val="20"/>
              </w:rPr>
              <w:t>***</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78C73D1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0E80595B"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6CF0A709"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67450033"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5D258F26"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w:t>
            </w:r>
          </w:p>
        </w:tc>
      </w:tr>
      <w:tr w:rsidR="002A2422" w14:paraId="5152B7F3" w14:textId="77777777">
        <w:trPr>
          <w:trHeight w:val="300"/>
          <w:jc w:val="center"/>
        </w:trPr>
        <w:tc>
          <w:tcPr>
            <w:tcW w:w="4900" w:type="dxa"/>
            <w:tcBorders>
              <w:top w:val="nil"/>
              <w:left w:val="nil"/>
              <w:bottom w:val="nil"/>
              <w:right w:val="nil"/>
            </w:tcBorders>
            <w:shd w:val="clear" w:color="auto" w:fill="auto"/>
            <w:noWrap/>
            <w:vAlign w:val="bottom"/>
          </w:tcPr>
          <w:p w14:paraId="424ED230" w14:textId="77777777" w:rsidR="002A2422" w:rsidRDefault="002A2422">
            <w:pPr>
              <w:spacing w:line="240" w:lineRule="auto"/>
              <w:rPr>
                <w:rFonts w:asciiTheme="minorHAnsi" w:eastAsia="Times New Roman" w:hAnsiTheme="minorHAnsi" w:cstheme="minorHAnsi"/>
                <w:color w:val="000000"/>
                <w:sz w:val="20"/>
                <w:szCs w:val="20"/>
              </w:rPr>
            </w:pPr>
          </w:p>
        </w:tc>
        <w:tc>
          <w:tcPr>
            <w:tcW w:w="545" w:type="dxa"/>
            <w:tcBorders>
              <w:top w:val="nil"/>
              <w:left w:val="nil"/>
              <w:bottom w:val="nil"/>
              <w:right w:val="nil"/>
            </w:tcBorders>
            <w:shd w:val="clear" w:color="auto" w:fill="auto"/>
            <w:noWrap/>
            <w:vAlign w:val="bottom"/>
          </w:tcPr>
          <w:p w14:paraId="64E250DB" w14:textId="77777777" w:rsidR="002A2422" w:rsidRDefault="002A2422">
            <w:pPr>
              <w:spacing w:line="240" w:lineRule="auto"/>
              <w:rPr>
                <w:rFonts w:asciiTheme="minorHAnsi" w:eastAsia="Times New Roman" w:hAnsiTheme="minorHAnsi" w:cstheme="minorHAnsi"/>
                <w:sz w:val="20"/>
                <w:szCs w:val="20"/>
              </w:rPr>
            </w:pPr>
          </w:p>
        </w:tc>
        <w:tc>
          <w:tcPr>
            <w:tcW w:w="545" w:type="dxa"/>
            <w:tcBorders>
              <w:top w:val="nil"/>
              <w:left w:val="nil"/>
              <w:bottom w:val="nil"/>
              <w:right w:val="nil"/>
            </w:tcBorders>
            <w:shd w:val="clear" w:color="auto" w:fill="auto"/>
            <w:noWrap/>
            <w:vAlign w:val="bottom"/>
          </w:tcPr>
          <w:p w14:paraId="5944BE18" w14:textId="77777777" w:rsidR="002A2422" w:rsidRDefault="002A2422">
            <w:pPr>
              <w:spacing w:line="240" w:lineRule="auto"/>
              <w:rPr>
                <w:rFonts w:asciiTheme="minorHAnsi" w:eastAsia="Times New Roman" w:hAnsiTheme="minorHAnsi" w:cstheme="minorHAnsi"/>
                <w:sz w:val="20"/>
                <w:szCs w:val="20"/>
              </w:rPr>
            </w:pPr>
          </w:p>
        </w:tc>
        <w:tc>
          <w:tcPr>
            <w:tcW w:w="545" w:type="dxa"/>
            <w:tcBorders>
              <w:top w:val="nil"/>
              <w:left w:val="nil"/>
              <w:bottom w:val="nil"/>
              <w:right w:val="nil"/>
            </w:tcBorders>
            <w:shd w:val="clear" w:color="auto" w:fill="auto"/>
            <w:noWrap/>
            <w:vAlign w:val="bottom"/>
          </w:tcPr>
          <w:p w14:paraId="3D3D8512" w14:textId="77777777" w:rsidR="002A2422" w:rsidRDefault="002A2422">
            <w:pPr>
              <w:spacing w:line="240" w:lineRule="auto"/>
              <w:rPr>
                <w:rFonts w:asciiTheme="minorHAnsi" w:eastAsia="Times New Roman" w:hAnsiTheme="minorHAnsi" w:cstheme="minorHAnsi"/>
                <w:sz w:val="20"/>
                <w:szCs w:val="20"/>
              </w:rPr>
            </w:pPr>
          </w:p>
        </w:tc>
        <w:tc>
          <w:tcPr>
            <w:tcW w:w="498" w:type="dxa"/>
            <w:tcBorders>
              <w:top w:val="nil"/>
              <w:left w:val="nil"/>
              <w:bottom w:val="nil"/>
              <w:right w:val="nil"/>
            </w:tcBorders>
            <w:shd w:val="clear" w:color="auto" w:fill="auto"/>
            <w:noWrap/>
            <w:vAlign w:val="bottom"/>
          </w:tcPr>
          <w:p w14:paraId="7C26E205" w14:textId="77777777" w:rsidR="002A2422" w:rsidRDefault="002A2422">
            <w:pPr>
              <w:spacing w:line="240" w:lineRule="auto"/>
              <w:rPr>
                <w:rFonts w:asciiTheme="minorHAnsi" w:eastAsia="Times New Roman" w:hAnsiTheme="minorHAnsi" w:cstheme="minorHAnsi"/>
                <w:sz w:val="20"/>
                <w:szCs w:val="20"/>
              </w:rPr>
            </w:pPr>
          </w:p>
        </w:tc>
        <w:tc>
          <w:tcPr>
            <w:tcW w:w="498" w:type="dxa"/>
            <w:tcBorders>
              <w:top w:val="nil"/>
              <w:left w:val="nil"/>
              <w:bottom w:val="nil"/>
              <w:right w:val="nil"/>
            </w:tcBorders>
            <w:shd w:val="clear" w:color="auto" w:fill="auto"/>
            <w:noWrap/>
            <w:vAlign w:val="bottom"/>
          </w:tcPr>
          <w:p w14:paraId="7AB9DBE3" w14:textId="77777777" w:rsidR="002A2422" w:rsidRDefault="002A2422">
            <w:pPr>
              <w:spacing w:line="240" w:lineRule="auto"/>
              <w:rPr>
                <w:rFonts w:asciiTheme="minorHAnsi" w:eastAsia="Times New Roman" w:hAnsiTheme="minorHAnsi" w:cstheme="minorHAnsi"/>
                <w:sz w:val="20"/>
                <w:szCs w:val="20"/>
              </w:rPr>
            </w:pPr>
          </w:p>
        </w:tc>
        <w:tc>
          <w:tcPr>
            <w:tcW w:w="498" w:type="dxa"/>
            <w:tcBorders>
              <w:top w:val="nil"/>
              <w:left w:val="nil"/>
              <w:bottom w:val="nil"/>
              <w:right w:val="nil"/>
            </w:tcBorders>
            <w:shd w:val="clear" w:color="auto" w:fill="auto"/>
            <w:noWrap/>
            <w:vAlign w:val="bottom"/>
          </w:tcPr>
          <w:p w14:paraId="4735A041" w14:textId="77777777" w:rsidR="002A2422" w:rsidRDefault="002A2422">
            <w:pPr>
              <w:spacing w:line="240" w:lineRule="auto"/>
              <w:rPr>
                <w:rFonts w:asciiTheme="minorHAnsi" w:eastAsia="Times New Roman" w:hAnsiTheme="minorHAnsi" w:cstheme="minorHAnsi"/>
                <w:sz w:val="20"/>
                <w:szCs w:val="20"/>
              </w:rPr>
            </w:pPr>
          </w:p>
        </w:tc>
        <w:tc>
          <w:tcPr>
            <w:tcW w:w="498" w:type="dxa"/>
            <w:tcBorders>
              <w:top w:val="nil"/>
              <w:left w:val="nil"/>
              <w:bottom w:val="nil"/>
              <w:right w:val="nil"/>
            </w:tcBorders>
            <w:shd w:val="clear" w:color="auto" w:fill="auto"/>
            <w:noWrap/>
            <w:vAlign w:val="bottom"/>
          </w:tcPr>
          <w:p w14:paraId="6F51C323" w14:textId="77777777" w:rsidR="002A2422" w:rsidRDefault="002A2422">
            <w:pPr>
              <w:spacing w:line="240" w:lineRule="auto"/>
              <w:rPr>
                <w:rFonts w:asciiTheme="minorHAnsi" w:eastAsia="Times New Roman" w:hAnsiTheme="minorHAnsi" w:cstheme="minorHAnsi"/>
                <w:sz w:val="20"/>
                <w:szCs w:val="20"/>
              </w:rPr>
            </w:pPr>
          </w:p>
        </w:tc>
        <w:tc>
          <w:tcPr>
            <w:tcW w:w="563" w:type="dxa"/>
            <w:tcBorders>
              <w:top w:val="nil"/>
              <w:left w:val="nil"/>
              <w:bottom w:val="nil"/>
              <w:right w:val="nil"/>
            </w:tcBorders>
            <w:shd w:val="clear" w:color="auto" w:fill="auto"/>
            <w:noWrap/>
            <w:vAlign w:val="bottom"/>
          </w:tcPr>
          <w:p w14:paraId="2EB81AA4" w14:textId="77777777" w:rsidR="002A2422" w:rsidRDefault="002A2422">
            <w:pPr>
              <w:spacing w:line="240" w:lineRule="auto"/>
              <w:rPr>
                <w:rFonts w:asciiTheme="minorHAnsi" w:eastAsia="Times New Roman" w:hAnsiTheme="minorHAnsi" w:cstheme="minorHAnsi"/>
                <w:sz w:val="20"/>
                <w:szCs w:val="20"/>
              </w:rPr>
            </w:pPr>
          </w:p>
        </w:tc>
        <w:tc>
          <w:tcPr>
            <w:tcW w:w="498" w:type="dxa"/>
            <w:tcBorders>
              <w:top w:val="nil"/>
              <w:left w:val="nil"/>
              <w:bottom w:val="nil"/>
              <w:right w:val="nil"/>
            </w:tcBorders>
            <w:shd w:val="clear" w:color="auto" w:fill="auto"/>
            <w:noWrap/>
            <w:vAlign w:val="bottom"/>
          </w:tcPr>
          <w:p w14:paraId="67E2C20B" w14:textId="77777777" w:rsidR="002A2422" w:rsidRDefault="002A2422">
            <w:pPr>
              <w:spacing w:line="240" w:lineRule="auto"/>
              <w:rPr>
                <w:rFonts w:asciiTheme="minorHAnsi" w:eastAsia="Times New Roman" w:hAnsiTheme="minorHAnsi" w:cstheme="minorHAnsi"/>
                <w:sz w:val="20"/>
                <w:szCs w:val="20"/>
              </w:rPr>
            </w:pPr>
          </w:p>
        </w:tc>
        <w:tc>
          <w:tcPr>
            <w:tcW w:w="498" w:type="dxa"/>
            <w:tcBorders>
              <w:top w:val="nil"/>
              <w:left w:val="nil"/>
              <w:bottom w:val="nil"/>
              <w:right w:val="nil"/>
            </w:tcBorders>
            <w:shd w:val="clear" w:color="auto" w:fill="auto"/>
            <w:noWrap/>
            <w:vAlign w:val="bottom"/>
          </w:tcPr>
          <w:p w14:paraId="013B103E" w14:textId="77777777" w:rsidR="002A2422" w:rsidRDefault="002A2422">
            <w:pPr>
              <w:spacing w:line="240" w:lineRule="auto"/>
              <w:rPr>
                <w:rFonts w:asciiTheme="minorHAnsi" w:eastAsia="Times New Roman" w:hAnsiTheme="minorHAnsi" w:cstheme="minorHAnsi"/>
                <w:sz w:val="20"/>
                <w:szCs w:val="20"/>
              </w:rPr>
            </w:pPr>
          </w:p>
        </w:tc>
        <w:tc>
          <w:tcPr>
            <w:tcW w:w="500" w:type="dxa"/>
            <w:tcBorders>
              <w:top w:val="nil"/>
              <w:left w:val="nil"/>
              <w:bottom w:val="nil"/>
              <w:right w:val="nil"/>
            </w:tcBorders>
            <w:shd w:val="clear" w:color="auto" w:fill="auto"/>
            <w:noWrap/>
            <w:vAlign w:val="bottom"/>
          </w:tcPr>
          <w:p w14:paraId="51EAD1BF" w14:textId="77777777" w:rsidR="002A2422" w:rsidRDefault="002A2422">
            <w:pPr>
              <w:spacing w:line="240" w:lineRule="auto"/>
              <w:rPr>
                <w:rFonts w:asciiTheme="minorHAnsi" w:eastAsia="Times New Roman" w:hAnsiTheme="minorHAnsi" w:cstheme="minorHAnsi"/>
                <w:sz w:val="20"/>
                <w:szCs w:val="20"/>
              </w:rPr>
            </w:pPr>
          </w:p>
        </w:tc>
        <w:tc>
          <w:tcPr>
            <w:tcW w:w="500" w:type="dxa"/>
            <w:tcBorders>
              <w:top w:val="nil"/>
              <w:left w:val="nil"/>
              <w:bottom w:val="nil"/>
              <w:right w:val="nil"/>
            </w:tcBorders>
            <w:shd w:val="clear" w:color="auto" w:fill="auto"/>
            <w:noWrap/>
            <w:vAlign w:val="bottom"/>
          </w:tcPr>
          <w:p w14:paraId="387D6135" w14:textId="77777777" w:rsidR="002A2422" w:rsidRDefault="002A2422">
            <w:pPr>
              <w:spacing w:line="240" w:lineRule="auto"/>
              <w:rPr>
                <w:rFonts w:asciiTheme="minorHAnsi" w:eastAsia="Times New Roman" w:hAnsiTheme="minorHAnsi" w:cstheme="minorHAnsi"/>
                <w:sz w:val="20"/>
                <w:szCs w:val="20"/>
              </w:rPr>
            </w:pPr>
          </w:p>
        </w:tc>
        <w:tc>
          <w:tcPr>
            <w:tcW w:w="500" w:type="dxa"/>
            <w:tcBorders>
              <w:top w:val="nil"/>
              <w:left w:val="nil"/>
              <w:bottom w:val="nil"/>
              <w:right w:val="nil"/>
            </w:tcBorders>
            <w:shd w:val="clear" w:color="auto" w:fill="auto"/>
            <w:noWrap/>
            <w:vAlign w:val="bottom"/>
          </w:tcPr>
          <w:p w14:paraId="3D0704DF" w14:textId="77777777" w:rsidR="002A2422" w:rsidRDefault="002A2422">
            <w:pPr>
              <w:spacing w:line="240" w:lineRule="auto"/>
              <w:rPr>
                <w:rFonts w:asciiTheme="minorHAnsi" w:eastAsia="Times New Roman" w:hAnsiTheme="minorHAnsi" w:cstheme="minorHAnsi"/>
                <w:sz w:val="20"/>
                <w:szCs w:val="20"/>
              </w:rPr>
            </w:pPr>
          </w:p>
        </w:tc>
      </w:tr>
      <w:tr w:rsidR="002A2422" w14:paraId="5E7BEBAA" w14:textId="77777777">
        <w:trPr>
          <w:trHeight w:val="300"/>
          <w:jc w:val="center"/>
        </w:trPr>
        <w:tc>
          <w:tcPr>
            <w:tcW w:w="8029" w:type="dxa"/>
            <w:gridSpan w:val="7"/>
            <w:tcBorders>
              <w:top w:val="nil"/>
              <w:left w:val="nil"/>
              <w:bottom w:val="nil"/>
              <w:right w:val="nil"/>
            </w:tcBorders>
            <w:shd w:val="clear" w:color="auto" w:fill="auto"/>
            <w:vAlign w:val="bottom"/>
          </w:tcPr>
          <w:p w14:paraId="6D67D66B"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Σημείωση: </w:t>
            </w:r>
            <w:r>
              <w:rPr>
                <w:rFonts w:asciiTheme="minorHAnsi" w:eastAsia="Times New Roman" w:hAnsiTheme="minorHAnsi" w:cstheme="minorHAnsi"/>
                <w:color w:val="4472C4"/>
                <w:sz w:val="20"/>
                <w:szCs w:val="20"/>
              </w:rPr>
              <w:t>***</w:t>
            </w:r>
            <w:r>
              <w:rPr>
                <w:rFonts w:asciiTheme="minorHAnsi" w:eastAsia="Times New Roman" w:hAnsiTheme="minorHAnsi" w:cstheme="minorHAnsi"/>
                <w:color w:val="000000"/>
                <w:sz w:val="20"/>
                <w:szCs w:val="20"/>
              </w:rPr>
              <w:t xml:space="preserve"> - πολύ ισχυρή συσχέτιση, </w:t>
            </w:r>
            <w:r>
              <w:rPr>
                <w:rFonts w:asciiTheme="minorHAnsi" w:eastAsia="Times New Roman" w:hAnsiTheme="minorHAnsi" w:cstheme="minorHAnsi"/>
                <w:color w:val="4472C4"/>
                <w:sz w:val="20"/>
                <w:szCs w:val="20"/>
              </w:rPr>
              <w:t>**</w:t>
            </w:r>
            <w:r>
              <w:rPr>
                <w:rFonts w:asciiTheme="minorHAnsi" w:eastAsia="Times New Roman" w:hAnsiTheme="minorHAnsi" w:cstheme="minorHAnsi"/>
                <w:color w:val="000000"/>
                <w:sz w:val="20"/>
                <w:szCs w:val="20"/>
              </w:rPr>
              <w:t xml:space="preserve"> - ισχυρή συσχέτιση, </w:t>
            </w:r>
            <w:r>
              <w:rPr>
                <w:rFonts w:asciiTheme="minorHAnsi" w:eastAsia="Times New Roman" w:hAnsiTheme="minorHAnsi" w:cstheme="minorHAnsi"/>
                <w:color w:val="4472C4"/>
                <w:sz w:val="20"/>
                <w:szCs w:val="20"/>
              </w:rPr>
              <w:t>*</w:t>
            </w:r>
            <w:r>
              <w:rPr>
                <w:rFonts w:asciiTheme="minorHAnsi" w:eastAsia="Times New Roman" w:hAnsiTheme="minorHAnsi" w:cstheme="minorHAnsi"/>
                <w:color w:val="000000"/>
                <w:sz w:val="20"/>
                <w:szCs w:val="20"/>
              </w:rPr>
              <w:t xml:space="preserve"> - συσχέτιση</w:t>
            </w:r>
          </w:p>
        </w:tc>
        <w:tc>
          <w:tcPr>
            <w:tcW w:w="498" w:type="dxa"/>
            <w:tcBorders>
              <w:top w:val="nil"/>
              <w:left w:val="nil"/>
              <w:bottom w:val="nil"/>
              <w:right w:val="nil"/>
            </w:tcBorders>
            <w:shd w:val="clear" w:color="auto" w:fill="auto"/>
            <w:noWrap/>
            <w:vAlign w:val="bottom"/>
          </w:tcPr>
          <w:p w14:paraId="4399AB5A" w14:textId="77777777" w:rsidR="002A2422" w:rsidRDefault="002A2422">
            <w:pPr>
              <w:spacing w:line="240" w:lineRule="auto"/>
              <w:rPr>
                <w:rFonts w:asciiTheme="minorHAnsi" w:eastAsia="Times New Roman" w:hAnsiTheme="minorHAnsi" w:cstheme="minorHAnsi"/>
                <w:color w:val="000000"/>
                <w:sz w:val="20"/>
                <w:szCs w:val="20"/>
              </w:rPr>
            </w:pPr>
          </w:p>
        </w:tc>
        <w:tc>
          <w:tcPr>
            <w:tcW w:w="563" w:type="dxa"/>
            <w:tcBorders>
              <w:top w:val="nil"/>
              <w:left w:val="nil"/>
              <w:bottom w:val="nil"/>
              <w:right w:val="nil"/>
            </w:tcBorders>
            <w:shd w:val="clear" w:color="auto" w:fill="auto"/>
            <w:noWrap/>
            <w:vAlign w:val="bottom"/>
          </w:tcPr>
          <w:p w14:paraId="794F657F" w14:textId="77777777" w:rsidR="002A2422" w:rsidRDefault="002A2422">
            <w:pPr>
              <w:spacing w:line="240" w:lineRule="auto"/>
              <w:rPr>
                <w:rFonts w:asciiTheme="minorHAnsi" w:eastAsia="Times New Roman" w:hAnsiTheme="minorHAnsi" w:cstheme="minorHAnsi"/>
                <w:sz w:val="20"/>
                <w:szCs w:val="20"/>
              </w:rPr>
            </w:pPr>
          </w:p>
        </w:tc>
        <w:tc>
          <w:tcPr>
            <w:tcW w:w="498" w:type="dxa"/>
            <w:tcBorders>
              <w:top w:val="nil"/>
              <w:left w:val="nil"/>
              <w:bottom w:val="nil"/>
              <w:right w:val="nil"/>
            </w:tcBorders>
            <w:shd w:val="clear" w:color="auto" w:fill="auto"/>
            <w:noWrap/>
            <w:vAlign w:val="bottom"/>
          </w:tcPr>
          <w:p w14:paraId="75F5B61D" w14:textId="77777777" w:rsidR="002A2422" w:rsidRDefault="002A2422">
            <w:pPr>
              <w:spacing w:line="240" w:lineRule="auto"/>
              <w:rPr>
                <w:rFonts w:asciiTheme="minorHAnsi" w:eastAsia="Times New Roman" w:hAnsiTheme="minorHAnsi" w:cstheme="minorHAnsi"/>
                <w:sz w:val="20"/>
                <w:szCs w:val="20"/>
              </w:rPr>
            </w:pPr>
          </w:p>
        </w:tc>
        <w:tc>
          <w:tcPr>
            <w:tcW w:w="498" w:type="dxa"/>
            <w:tcBorders>
              <w:top w:val="nil"/>
              <w:left w:val="nil"/>
              <w:bottom w:val="nil"/>
              <w:right w:val="nil"/>
            </w:tcBorders>
            <w:shd w:val="clear" w:color="auto" w:fill="auto"/>
            <w:noWrap/>
            <w:vAlign w:val="bottom"/>
          </w:tcPr>
          <w:p w14:paraId="6E5875D6" w14:textId="77777777" w:rsidR="002A2422" w:rsidRDefault="002A2422">
            <w:pPr>
              <w:spacing w:line="240" w:lineRule="auto"/>
              <w:rPr>
                <w:rFonts w:asciiTheme="minorHAnsi" w:eastAsia="Times New Roman" w:hAnsiTheme="minorHAnsi" w:cstheme="minorHAnsi"/>
                <w:sz w:val="20"/>
                <w:szCs w:val="20"/>
              </w:rPr>
            </w:pPr>
          </w:p>
        </w:tc>
        <w:tc>
          <w:tcPr>
            <w:tcW w:w="500" w:type="dxa"/>
            <w:tcBorders>
              <w:top w:val="nil"/>
              <w:left w:val="nil"/>
              <w:bottom w:val="nil"/>
              <w:right w:val="nil"/>
            </w:tcBorders>
            <w:shd w:val="clear" w:color="auto" w:fill="auto"/>
            <w:noWrap/>
            <w:vAlign w:val="bottom"/>
          </w:tcPr>
          <w:p w14:paraId="52AD83F5" w14:textId="77777777" w:rsidR="002A2422" w:rsidRDefault="002A2422">
            <w:pPr>
              <w:spacing w:line="240" w:lineRule="auto"/>
              <w:rPr>
                <w:rFonts w:asciiTheme="minorHAnsi" w:eastAsia="Times New Roman" w:hAnsiTheme="minorHAnsi" w:cstheme="minorHAnsi"/>
                <w:sz w:val="20"/>
                <w:szCs w:val="20"/>
              </w:rPr>
            </w:pPr>
          </w:p>
        </w:tc>
        <w:tc>
          <w:tcPr>
            <w:tcW w:w="500" w:type="dxa"/>
            <w:tcBorders>
              <w:top w:val="nil"/>
              <w:left w:val="nil"/>
              <w:bottom w:val="nil"/>
              <w:right w:val="nil"/>
            </w:tcBorders>
            <w:shd w:val="clear" w:color="auto" w:fill="auto"/>
            <w:noWrap/>
            <w:vAlign w:val="bottom"/>
          </w:tcPr>
          <w:p w14:paraId="65AC3986" w14:textId="77777777" w:rsidR="002A2422" w:rsidRDefault="002A2422">
            <w:pPr>
              <w:spacing w:line="240" w:lineRule="auto"/>
              <w:rPr>
                <w:rFonts w:asciiTheme="minorHAnsi" w:eastAsia="Times New Roman" w:hAnsiTheme="minorHAnsi" w:cstheme="minorHAnsi"/>
                <w:sz w:val="20"/>
                <w:szCs w:val="20"/>
              </w:rPr>
            </w:pPr>
          </w:p>
        </w:tc>
        <w:tc>
          <w:tcPr>
            <w:tcW w:w="500" w:type="dxa"/>
            <w:tcBorders>
              <w:top w:val="nil"/>
              <w:left w:val="nil"/>
              <w:bottom w:val="nil"/>
              <w:right w:val="nil"/>
            </w:tcBorders>
            <w:shd w:val="clear" w:color="auto" w:fill="auto"/>
            <w:noWrap/>
            <w:vAlign w:val="bottom"/>
          </w:tcPr>
          <w:p w14:paraId="1B27BC9F" w14:textId="77777777" w:rsidR="002A2422" w:rsidRDefault="002A2422">
            <w:pPr>
              <w:spacing w:line="240" w:lineRule="auto"/>
              <w:rPr>
                <w:rFonts w:asciiTheme="minorHAnsi" w:eastAsia="Times New Roman" w:hAnsiTheme="minorHAnsi" w:cstheme="minorHAnsi"/>
                <w:sz w:val="20"/>
                <w:szCs w:val="20"/>
              </w:rPr>
            </w:pPr>
          </w:p>
        </w:tc>
      </w:tr>
    </w:tbl>
    <w:p w14:paraId="530CB2AC" w14:textId="77777777" w:rsidR="002A2422" w:rsidRDefault="002A2422">
      <w:pPr>
        <w:spacing w:after="160" w:line="259" w:lineRule="auto"/>
        <w:rPr>
          <w:rFonts w:asciiTheme="minorHAnsi" w:eastAsia="Calibri" w:hAnsiTheme="minorHAnsi" w:cstheme="minorHAnsi"/>
          <w:sz w:val="24"/>
          <w:szCs w:val="24"/>
          <w:lang w:eastAsia="en-US"/>
        </w:rPr>
      </w:pPr>
    </w:p>
    <w:p w14:paraId="292F4920" w14:textId="77777777" w:rsidR="002A2422" w:rsidRDefault="003B3AD7">
      <w:pPr>
        <w:pStyle w:val="4"/>
        <w:rPr>
          <w:lang w:eastAsia="en-US"/>
        </w:rPr>
      </w:pPr>
      <w:bookmarkStart w:id="28" w:name="_Toc68011189"/>
      <w:r>
        <w:rPr>
          <w:lang w:eastAsia="en-US"/>
        </w:rPr>
        <w:t>Κοινωνική Ανάπτυξη</w:t>
      </w:r>
      <w:bookmarkEnd w:id="28"/>
    </w:p>
    <w:p w14:paraId="161525E5"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Μια επιπλέον σημαντική διάσταση της οικονομικής ανάπτυξης που της επιτρέπει να διατηρείται διαχρονικά είναι η εξασφάλιση της κοινωνικής συνοχής και ευημερίας. Εξάλλου, η μεγέθυνση της οικονομίας δεν αποτελεί αυτοσκοπό αλλά είναι επιθυμητή στον βαθμό που βελτιώνει τις </w:t>
      </w:r>
      <w:r>
        <w:rPr>
          <w:rFonts w:asciiTheme="minorHAnsi" w:eastAsia="Calibri" w:hAnsiTheme="minorHAnsi" w:cstheme="minorHAnsi"/>
          <w:sz w:val="24"/>
          <w:szCs w:val="24"/>
          <w:lang w:eastAsia="en-US"/>
        </w:rPr>
        <w:lastRenderedPageBreak/>
        <w:t>συνθήκες διαβίωσης στο σύνολο της κοινωνίας, συμπεριλαμβανομένων και των ευπαθών ομάδων πληθυσμού.</w:t>
      </w:r>
    </w:p>
    <w:p w14:paraId="445B90CB"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Ο </w:t>
      </w:r>
      <w:r>
        <w:rPr>
          <w:rFonts w:asciiTheme="minorHAnsi" w:eastAsia="Calibri" w:hAnsiTheme="minorHAnsi" w:cstheme="minorHAnsi"/>
          <w:sz w:val="24"/>
          <w:szCs w:val="24"/>
          <w:u w:val="single"/>
          <w:lang w:eastAsia="en-US"/>
        </w:rPr>
        <w:t>στόχος</w:t>
      </w:r>
      <w:r>
        <w:rPr>
          <w:rFonts w:asciiTheme="minorHAnsi" w:eastAsia="Calibri" w:hAnsiTheme="minorHAnsi" w:cstheme="minorHAnsi"/>
          <w:sz w:val="24"/>
          <w:szCs w:val="24"/>
          <w:lang w:eastAsia="en-US"/>
        </w:rPr>
        <w:t xml:space="preserve"> της κοινωνικής ανάπτυξης εξειδικεύεται σε τέσσερις επιμέρους ειδικούς στόχους που αντιστοιχούν σε τομείς κοινωνικής πολιτικής:</w:t>
      </w:r>
    </w:p>
    <w:p w14:paraId="07CE83FB" w14:textId="77777777" w:rsidR="002A2422" w:rsidRDefault="003B3AD7">
      <w:pPr>
        <w:numPr>
          <w:ilvl w:val="0"/>
          <w:numId w:val="5"/>
        </w:numPr>
        <w:spacing w:before="60" w:after="60"/>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Υγεία και αθλητισμός</w:t>
      </w:r>
    </w:p>
    <w:p w14:paraId="18A9EB8F" w14:textId="77777777" w:rsidR="002A2422" w:rsidRDefault="003B3AD7">
      <w:pPr>
        <w:numPr>
          <w:ilvl w:val="0"/>
          <w:numId w:val="5"/>
        </w:numPr>
        <w:spacing w:before="60" w:after="60"/>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Απασχόληση</w:t>
      </w:r>
    </w:p>
    <w:p w14:paraId="49BE8957" w14:textId="77777777" w:rsidR="002A2422" w:rsidRDefault="003B3AD7">
      <w:pPr>
        <w:numPr>
          <w:ilvl w:val="0"/>
          <w:numId w:val="5"/>
        </w:numPr>
        <w:spacing w:before="60" w:after="60"/>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Παιδεία</w:t>
      </w:r>
    </w:p>
    <w:p w14:paraId="2DA7B7E2" w14:textId="77777777" w:rsidR="002A2422" w:rsidRDefault="003B3AD7">
      <w:pPr>
        <w:numPr>
          <w:ilvl w:val="0"/>
          <w:numId w:val="5"/>
        </w:numPr>
        <w:spacing w:before="60" w:after="60"/>
        <w:contextualSpacing/>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Κοινωνική συνοχή</w:t>
      </w:r>
    </w:p>
    <w:p w14:paraId="16461473"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Αναδεικνύονται οι κάτωθι  προτεραιότητες που εντάσσονται στον σκοπό της κοινωνικής ανάπτυξης. Αυτοί που αφορούν τον τομέα του πολιτισμού είναι : α) η τόνωση των ενεργητικών πολιτικών απασχόλησης, β) Η</w:t>
      </w:r>
      <w:r>
        <w:t xml:space="preserve"> </w:t>
      </w:r>
      <w:r>
        <w:rPr>
          <w:rFonts w:asciiTheme="minorHAnsi" w:eastAsia="Calibri" w:hAnsiTheme="minorHAnsi" w:cstheme="minorHAnsi"/>
          <w:sz w:val="24"/>
          <w:szCs w:val="24"/>
          <w:lang w:eastAsia="en-US"/>
        </w:rPr>
        <w:t>ενίσχυση υποδομών για βελτίωση της οικονομικής και κοινωνικής ενσωμάτωσης γ) η προσέλκυση καταρτισμένων Ελλήνων από το εξωτερικό (</w:t>
      </w:r>
      <w:proofErr w:type="spellStart"/>
      <w:r>
        <w:rPr>
          <w:rFonts w:asciiTheme="minorHAnsi" w:eastAsia="Calibri" w:hAnsiTheme="minorHAnsi" w:cstheme="minorHAnsi"/>
          <w:sz w:val="24"/>
          <w:szCs w:val="24"/>
          <w:lang w:eastAsia="en-US"/>
        </w:rPr>
        <w:t>Brain</w:t>
      </w:r>
      <w:proofErr w:type="spellEnd"/>
      <w:r>
        <w:rPr>
          <w:rFonts w:asciiTheme="minorHAnsi" w:eastAsia="Calibri" w:hAnsiTheme="minorHAnsi" w:cstheme="minorHAnsi"/>
          <w:sz w:val="24"/>
          <w:szCs w:val="24"/>
          <w:lang w:eastAsia="en-US"/>
        </w:rPr>
        <w:t xml:space="preserve"> </w:t>
      </w:r>
      <w:proofErr w:type="spellStart"/>
      <w:r>
        <w:rPr>
          <w:rFonts w:asciiTheme="minorHAnsi" w:eastAsia="Calibri" w:hAnsiTheme="minorHAnsi" w:cstheme="minorHAnsi"/>
          <w:sz w:val="24"/>
          <w:szCs w:val="24"/>
          <w:lang w:eastAsia="en-US"/>
        </w:rPr>
        <w:t>Gain</w:t>
      </w:r>
      <w:proofErr w:type="spellEnd"/>
      <w:r>
        <w:rPr>
          <w:rFonts w:asciiTheme="minorHAnsi" w:eastAsia="Calibri" w:hAnsiTheme="minorHAnsi" w:cstheme="minorHAnsi"/>
          <w:sz w:val="24"/>
          <w:szCs w:val="24"/>
          <w:lang w:eastAsia="en-US"/>
        </w:rPr>
        <w:t>).</w:t>
      </w:r>
    </w:p>
    <w:p w14:paraId="198B2DDC"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Σε ό,τι αφορά στον  τομέα του αθλητισμού αναδεικνύεται ως βασική προτεραιότητα η αναβάθμιση των αθλητικών υποδομών και υπηρεσιών. Ειδικότερα ως προς τις προτεραιότητες του ΕΠΑ αυτές που αφορούν στον αθλητισμό είναι οι εξής: α) Υποδομές στον τομέα του αθλητισμού, γ) ενίσχυση υποδομών για βελτίωση της οικονομικής και κοινωνικής ενσωμάτωσης  δ) Αντιμετώπιση ανισοτήτων στις απομακρυσμένες και νησιωτικές περιοχές.</w:t>
      </w:r>
    </w:p>
    <w:p w14:paraId="0B6B1F9A" w14:textId="77777777" w:rsidR="002A2422" w:rsidRDefault="002A2422">
      <w:pPr>
        <w:spacing w:before="60" w:after="60"/>
        <w:rPr>
          <w:rFonts w:asciiTheme="minorHAnsi" w:eastAsia="Calibri" w:hAnsiTheme="minorHAnsi" w:cstheme="minorHAnsi"/>
          <w:sz w:val="24"/>
          <w:szCs w:val="24"/>
          <w:lang w:eastAsia="en-US"/>
        </w:rPr>
      </w:pPr>
    </w:p>
    <w:p w14:paraId="27A7FFC8" w14:textId="77777777" w:rsidR="002A2422" w:rsidRDefault="002A2422">
      <w:pPr>
        <w:spacing w:before="60" w:after="60"/>
        <w:rPr>
          <w:rFonts w:asciiTheme="minorHAnsi" w:eastAsia="Calibri" w:hAnsiTheme="minorHAnsi" w:cstheme="minorHAnsi"/>
          <w:sz w:val="24"/>
          <w:szCs w:val="24"/>
          <w:lang w:eastAsia="en-US"/>
        </w:rPr>
      </w:pPr>
    </w:p>
    <w:tbl>
      <w:tblPr>
        <w:tblW w:w="11816" w:type="dxa"/>
        <w:jc w:val="center"/>
        <w:tblLook w:val="04A0" w:firstRow="1" w:lastRow="0" w:firstColumn="1" w:lastColumn="0" w:noHBand="0" w:noVBand="1"/>
      </w:tblPr>
      <w:tblGrid>
        <w:gridCol w:w="3472"/>
        <w:gridCol w:w="575"/>
        <w:gridCol w:w="575"/>
        <w:gridCol w:w="575"/>
        <w:gridCol w:w="575"/>
        <w:gridCol w:w="575"/>
        <w:gridCol w:w="523"/>
        <w:gridCol w:w="780"/>
        <w:gridCol w:w="473"/>
        <w:gridCol w:w="523"/>
        <w:gridCol w:w="575"/>
        <w:gridCol w:w="764"/>
        <w:gridCol w:w="523"/>
        <w:gridCol w:w="714"/>
        <w:gridCol w:w="594"/>
      </w:tblGrid>
      <w:tr w:rsidR="002A2422" w14:paraId="428A382A" w14:textId="77777777">
        <w:trPr>
          <w:trHeight w:val="286"/>
          <w:jc w:val="center"/>
        </w:trPr>
        <w:tc>
          <w:tcPr>
            <w:tcW w:w="3472"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730C7545"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Προτεραιότητες και ενδεικτικά έργα</w:t>
            </w:r>
          </w:p>
        </w:tc>
        <w:tc>
          <w:tcPr>
            <w:tcW w:w="23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FFBBB32"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Ειδικοί στόχοι</w:t>
            </w:r>
          </w:p>
        </w:tc>
        <w:tc>
          <w:tcPr>
            <w:tcW w:w="4213"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374952FE"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Λοιπές προκλήσεις</w:t>
            </w:r>
          </w:p>
        </w:tc>
        <w:tc>
          <w:tcPr>
            <w:tcW w:w="183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301AE59"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Δυνατότητες</w:t>
            </w:r>
          </w:p>
        </w:tc>
      </w:tr>
      <w:tr w:rsidR="002A2422" w14:paraId="0BE1C475" w14:textId="77777777">
        <w:trPr>
          <w:trHeight w:val="3410"/>
          <w:jc w:val="center"/>
        </w:trPr>
        <w:tc>
          <w:tcPr>
            <w:tcW w:w="3472" w:type="dxa"/>
            <w:vMerge/>
            <w:tcBorders>
              <w:top w:val="single" w:sz="4" w:space="0" w:color="auto"/>
              <w:left w:val="single" w:sz="4" w:space="0" w:color="auto"/>
              <w:bottom w:val="single" w:sz="4" w:space="0" w:color="auto"/>
              <w:right w:val="nil"/>
            </w:tcBorders>
            <w:vAlign w:val="center"/>
          </w:tcPr>
          <w:p w14:paraId="4B998710" w14:textId="77777777" w:rsidR="002A2422" w:rsidRDefault="002A2422">
            <w:pPr>
              <w:spacing w:line="240" w:lineRule="auto"/>
              <w:rPr>
                <w:rFonts w:asciiTheme="minorHAnsi" w:eastAsia="Times New Roman" w:hAnsiTheme="minorHAnsi" w:cstheme="minorHAnsi"/>
                <w:color w:val="000000"/>
                <w:sz w:val="20"/>
                <w:szCs w:val="20"/>
              </w:rPr>
            </w:pPr>
          </w:p>
        </w:tc>
        <w:tc>
          <w:tcPr>
            <w:tcW w:w="57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14:paraId="5BDF488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Υγεία και αθλητισμός</w:t>
            </w:r>
          </w:p>
        </w:tc>
        <w:tc>
          <w:tcPr>
            <w:tcW w:w="575" w:type="dxa"/>
            <w:tcBorders>
              <w:top w:val="single" w:sz="4" w:space="0" w:color="auto"/>
              <w:left w:val="nil"/>
              <w:bottom w:val="single" w:sz="4" w:space="0" w:color="auto"/>
              <w:right w:val="single" w:sz="4" w:space="0" w:color="auto"/>
            </w:tcBorders>
            <w:shd w:val="clear" w:color="auto" w:fill="auto"/>
            <w:noWrap/>
            <w:textDirection w:val="btLr"/>
            <w:vAlign w:val="bottom"/>
          </w:tcPr>
          <w:p w14:paraId="1FEF3DF7"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Απασχόληση</w:t>
            </w:r>
          </w:p>
        </w:tc>
        <w:tc>
          <w:tcPr>
            <w:tcW w:w="575" w:type="dxa"/>
            <w:tcBorders>
              <w:top w:val="single" w:sz="4" w:space="0" w:color="auto"/>
              <w:left w:val="nil"/>
              <w:bottom w:val="single" w:sz="4" w:space="0" w:color="auto"/>
              <w:right w:val="single" w:sz="4" w:space="0" w:color="auto"/>
            </w:tcBorders>
            <w:shd w:val="clear" w:color="auto" w:fill="auto"/>
            <w:noWrap/>
            <w:textDirection w:val="btLr"/>
            <w:vAlign w:val="bottom"/>
          </w:tcPr>
          <w:p w14:paraId="3828E00F"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Παιδεία</w:t>
            </w:r>
          </w:p>
        </w:tc>
        <w:tc>
          <w:tcPr>
            <w:tcW w:w="575" w:type="dxa"/>
            <w:tcBorders>
              <w:top w:val="single" w:sz="4" w:space="0" w:color="auto"/>
              <w:left w:val="nil"/>
              <w:bottom w:val="single" w:sz="4" w:space="0" w:color="auto"/>
              <w:right w:val="single" w:sz="4" w:space="0" w:color="auto"/>
            </w:tcBorders>
            <w:shd w:val="clear" w:color="auto" w:fill="auto"/>
            <w:noWrap/>
            <w:textDirection w:val="btLr"/>
            <w:vAlign w:val="bottom"/>
          </w:tcPr>
          <w:p w14:paraId="13286330"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Κοινωνική συνοχή</w:t>
            </w:r>
          </w:p>
        </w:tc>
        <w:tc>
          <w:tcPr>
            <w:tcW w:w="575" w:type="dxa"/>
            <w:tcBorders>
              <w:top w:val="single" w:sz="4" w:space="0" w:color="auto"/>
              <w:left w:val="nil"/>
              <w:bottom w:val="single" w:sz="4" w:space="0" w:color="auto"/>
              <w:right w:val="single" w:sz="4" w:space="0" w:color="auto"/>
            </w:tcBorders>
            <w:shd w:val="clear" w:color="auto" w:fill="auto"/>
            <w:noWrap/>
            <w:textDirection w:val="btLr"/>
            <w:vAlign w:val="bottom"/>
          </w:tcPr>
          <w:p w14:paraId="0F71E3B6"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Κοινωνικές συνέπειες</w:t>
            </w:r>
          </w:p>
        </w:tc>
        <w:tc>
          <w:tcPr>
            <w:tcW w:w="523" w:type="dxa"/>
            <w:tcBorders>
              <w:top w:val="single" w:sz="4" w:space="0" w:color="auto"/>
              <w:left w:val="nil"/>
              <w:bottom w:val="single" w:sz="4" w:space="0" w:color="auto"/>
              <w:right w:val="single" w:sz="4" w:space="0" w:color="auto"/>
            </w:tcBorders>
            <w:shd w:val="clear" w:color="auto" w:fill="auto"/>
            <w:noWrap/>
            <w:textDirection w:val="btLr"/>
            <w:vAlign w:val="bottom"/>
          </w:tcPr>
          <w:p w14:paraId="1F39643B"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Δημοσιονομική πειθαρχία</w:t>
            </w:r>
          </w:p>
        </w:tc>
        <w:tc>
          <w:tcPr>
            <w:tcW w:w="780" w:type="dxa"/>
            <w:tcBorders>
              <w:top w:val="single" w:sz="4" w:space="0" w:color="auto"/>
              <w:left w:val="nil"/>
              <w:bottom w:val="single" w:sz="4" w:space="0" w:color="auto"/>
              <w:right w:val="single" w:sz="4" w:space="0" w:color="auto"/>
            </w:tcBorders>
            <w:shd w:val="clear" w:color="auto" w:fill="auto"/>
            <w:noWrap/>
            <w:textDirection w:val="btLr"/>
            <w:vAlign w:val="bottom"/>
          </w:tcPr>
          <w:p w14:paraId="77C6FE3A"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Αλλαγή παραγωγικού υποδείγματος</w:t>
            </w:r>
          </w:p>
        </w:tc>
        <w:tc>
          <w:tcPr>
            <w:tcW w:w="473" w:type="dxa"/>
            <w:tcBorders>
              <w:top w:val="single" w:sz="4" w:space="0" w:color="auto"/>
              <w:left w:val="nil"/>
              <w:bottom w:val="single" w:sz="4" w:space="0" w:color="auto"/>
              <w:right w:val="single" w:sz="4" w:space="0" w:color="auto"/>
            </w:tcBorders>
            <w:shd w:val="clear" w:color="auto" w:fill="auto"/>
            <w:noWrap/>
            <w:textDirection w:val="btLr"/>
            <w:vAlign w:val="bottom"/>
          </w:tcPr>
          <w:p w14:paraId="2813EC43"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Τεχνολογικές εξελίξεις</w:t>
            </w:r>
          </w:p>
        </w:tc>
        <w:tc>
          <w:tcPr>
            <w:tcW w:w="523" w:type="dxa"/>
            <w:tcBorders>
              <w:top w:val="single" w:sz="4" w:space="0" w:color="auto"/>
              <w:left w:val="nil"/>
              <w:bottom w:val="single" w:sz="4" w:space="0" w:color="auto"/>
              <w:right w:val="single" w:sz="4" w:space="0" w:color="auto"/>
            </w:tcBorders>
            <w:shd w:val="clear" w:color="auto" w:fill="auto"/>
            <w:noWrap/>
            <w:textDirection w:val="btLr"/>
            <w:vAlign w:val="bottom"/>
          </w:tcPr>
          <w:p w14:paraId="1F5B7D1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Κλιματική αλλαγή / περιβάλλον</w:t>
            </w:r>
          </w:p>
        </w:tc>
        <w:tc>
          <w:tcPr>
            <w:tcW w:w="575" w:type="dxa"/>
            <w:tcBorders>
              <w:top w:val="single" w:sz="4" w:space="0" w:color="auto"/>
              <w:left w:val="nil"/>
              <w:bottom w:val="single" w:sz="4" w:space="0" w:color="auto"/>
              <w:right w:val="single" w:sz="4" w:space="0" w:color="auto"/>
            </w:tcBorders>
            <w:shd w:val="clear" w:color="auto" w:fill="auto"/>
            <w:noWrap/>
            <w:textDirection w:val="btLr"/>
            <w:vAlign w:val="bottom"/>
          </w:tcPr>
          <w:p w14:paraId="13DB92E9"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Δημογραφικές εξελίξεις</w:t>
            </w:r>
          </w:p>
        </w:tc>
        <w:tc>
          <w:tcPr>
            <w:tcW w:w="764" w:type="dxa"/>
            <w:tcBorders>
              <w:top w:val="single" w:sz="4" w:space="0" w:color="auto"/>
              <w:left w:val="nil"/>
              <w:bottom w:val="single" w:sz="4" w:space="0" w:color="auto"/>
              <w:right w:val="single" w:sz="4" w:space="0" w:color="auto"/>
            </w:tcBorders>
            <w:shd w:val="clear" w:color="auto" w:fill="auto"/>
            <w:noWrap/>
            <w:textDirection w:val="btLr"/>
            <w:vAlign w:val="bottom"/>
          </w:tcPr>
          <w:p w14:paraId="699FB229"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Λοιπές προκλήσεις</w:t>
            </w:r>
          </w:p>
        </w:tc>
        <w:tc>
          <w:tcPr>
            <w:tcW w:w="523" w:type="dxa"/>
            <w:tcBorders>
              <w:top w:val="single" w:sz="4" w:space="0" w:color="auto"/>
              <w:left w:val="nil"/>
              <w:bottom w:val="single" w:sz="4" w:space="0" w:color="auto"/>
              <w:right w:val="single" w:sz="4" w:space="0" w:color="auto"/>
            </w:tcBorders>
            <w:shd w:val="clear" w:color="auto" w:fill="auto"/>
            <w:noWrap/>
            <w:textDirection w:val="btLr"/>
            <w:vAlign w:val="bottom"/>
          </w:tcPr>
          <w:p w14:paraId="2E82AD9B"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Γεωγραφική θέση</w:t>
            </w:r>
          </w:p>
        </w:tc>
        <w:tc>
          <w:tcPr>
            <w:tcW w:w="714" w:type="dxa"/>
            <w:tcBorders>
              <w:top w:val="single" w:sz="4" w:space="0" w:color="auto"/>
              <w:left w:val="nil"/>
              <w:bottom w:val="single" w:sz="4" w:space="0" w:color="auto"/>
              <w:right w:val="single" w:sz="4" w:space="0" w:color="auto"/>
            </w:tcBorders>
            <w:shd w:val="clear" w:color="auto" w:fill="auto"/>
            <w:noWrap/>
            <w:textDirection w:val="btLr"/>
            <w:vAlign w:val="bottom"/>
          </w:tcPr>
          <w:p w14:paraId="664ADD8F"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Φυσικό περιβάλλον</w:t>
            </w:r>
          </w:p>
        </w:tc>
        <w:tc>
          <w:tcPr>
            <w:tcW w:w="594" w:type="dxa"/>
            <w:tcBorders>
              <w:top w:val="single" w:sz="4" w:space="0" w:color="auto"/>
              <w:left w:val="nil"/>
              <w:bottom w:val="single" w:sz="4" w:space="0" w:color="auto"/>
              <w:right w:val="single" w:sz="4" w:space="0" w:color="auto"/>
            </w:tcBorders>
            <w:shd w:val="clear" w:color="auto" w:fill="auto"/>
            <w:noWrap/>
            <w:textDirection w:val="btLr"/>
            <w:vAlign w:val="bottom"/>
          </w:tcPr>
          <w:p w14:paraId="6122B760"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Πολιτιστική κληρονομιά</w:t>
            </w:r>
          </w:p>
        </w:tc>
      </w:tr>
      <w:tr w:rsidR="002A2422" w14:paraId="5C06EF9B" w14:textId="77777777">
        <w:trPr>
          <w:trHeight w:val="286"/>
          <w:jc w:val="center"/>
        </w:trPr>
        <w:tc>
          <w:tcPr>
            <w:tcW w:w="3472" w:type="dxa"/>
            <w:tcBorders>
              <w:top w:val="single" w:sz="4" w:space="0" w:color="auto"/>
              <w:left w:val="single" w:sz="4" w:space="0" w:color="auto"/>
              <w:bottom w:val="single" w:sz="4" w:space="0" w:color="auto"/>
              <w:right w:val="single" w:sz="4" w:space="0" w:color="auto"/>
            </w:tcBorders>
            <w:shd w:val="clear" w:color="auto" w:fill="auto"/>
            <w:vAlign w:val="bottom"/>
          </w:tcPr>
          <w:p w14:paraId="6F3A632A"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Υγεία - υποδομές, εξοπλισμός</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2DFB37F9"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199F0CB9"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05B7D0B4"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77CE4568"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3F499394"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04AF64B8"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57B7930D"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473" w:type="dxa"/>
            <w:tcBorders>
              <w:top w:val="single" w:sz="4" w:space="0" w:color="auto"/>
              <w:left w:val="nil"/>
              <w:bottom w:val="single" w:sz="4" w:space="0" w:color="auto"/>
              <w:right w:val="single" w:sz="4" w:space="0" w:color="auto"/>
            </w:tcBorders>
            <w:shd w:val="clear" w:color="auto" w:fill="auto"/>
            <w:noWrap/>
            <w:vAlign w:val="center"/>
          </w:tcPr>
          <w:p w14:paraId="38913A02"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366B21DD"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6FEEB89"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3C9EAEDA"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2EA6B0FF"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4BE0EB45"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94" w:type="dxa"/>
            <w:tcBorders>
              <w:top w:val="single" w:sz="4" w:space="0" w:color="auto"/>
              <w:left w:val="nil"/>
              <w:bottom w:val="single" w:sz="4" w:space="0" w:color="auto"/>
              <w:right w:val="single" w:sz="4" w:space="0" w:color="auto"/>
            </w:tcBorders>
            <w:shd w:val="clear" w:color="auto" w:fill="auto"/>
            <w:noWrap/>
            <w:vAlign w:val="center"/>
          </w:tcPr>
          <w:p w14:paraId="0EAE9E98"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r>
      <w:tr w:rsidR="002A2422" w14:paraId="4476EA6D" w14:textId="77777777">
        <w:trPr>
          <w:trHeight w:val="286"/>
          <w:jc w:val="center"/>
        </w:trPr>
        <w:tc>
          <w:tcPr>
            <w:tcW w:w="3472" w:type="dxa"/>
            <w:tcBorders>
              <w:top w:val="single" w:sz="4" w:space="0" w:color="auto"/>
              <w:left w:val="single" w:sz="4" w:space="0" w:color="auto"/>
              <w:bottom w:val="single" w:sz="4" w:space="0" w:color="auto"/>
              <w:right w:val="single" w:sz="4" w:space="0" w:color="auto"/>
            </w:tcBorders>
            <w:shd w:val="clear" w:color="auto" w:fill="auto"/>
            <w:vAlign w:val="bottom"/>
          </w:tcPr>
          <w:p w14:paraId="1122E49A"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Υποδομές στον τομέα του αθλητισμού</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02A8B2E1"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1CE3076E"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CA0C873"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F36CB2E"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041D70AB"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7877F223"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2C911463"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473" w:type="dxa"/>
            <w:tcBorders>
              <w:top w:val="single" w:sz="4" w:space="0" w:color="auto"/>
              <w:left w:val="nil"/>
              <w:bottom w:val="single" w:sz="4" w:space="0" w:color="auto"/>
              <w:right w:val="single" w:sz="4" w:space="0" w:color="auto"/>
            </w:tcBorders>
            <w:shd w:val="clear" w:color="auto" w:fill="auto"/>
            <w:noWrap/>
            <w:vAlign w:val="center"/>
          </w:tcPr>
          <w:p w14:paraId="54C7F48D"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15FDB638"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1443286"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705310A6"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3DB2A591"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09868FDC"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94" w:type="dxa"/>
            <w:tcBorders>
              <w:top w:val="single" w:sz="4" w:space="0" w:color="auto"/>
              <w:left w:val="nil"/>
              <w:bottom w:val="single" w:sz="4" w:space="0" w:color="auto"/>
              <w:right w:val="single" w:sz="4" w:space="0" w:color="auto"/>
            </w:tcBorders>
            <w:shd w:val="clear" w:color="auto" w:fill="auto"/>
            <w:noWrap/>
            <w:vAlign w:val="center"/>
          </w:tcPr>
          <w:p w14:paraId="0A4998C8"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r>
      <w:tr w:rsidR="002A2422" w14:paraId="48D7D3AB" w14:textId="77777777">
        <w:trPr>
          <w:trHeight w:val="286"/>
          <w:jc w:val="center"/>
        </w:trPr>
        <w:tc>
          <w:tcPr>
            <w:tcW w:w="3472" w:type="dxa"/>
            <w:tcBorders>
              <w:top w:val="single" w:sz="4" w:space="0" w:color="auto"/>
              <w:left w:val="single" w:sz="4" w:space="0" w:color="auto"/>
              <w:bottom w:val="single" w:sz="4" w:space="0" w:color="auto"/>
              <w:right w:val="single" w:sz="4" w:space="0" w:color="auto"/>
            </w:tcBorders>
            <w:shd w:val="clear" w:color="auto" w:fill="auto"/>
            <w:vAlign w:val="bottom"/>
          </w:tcPr>
          <w:p w14:paraId="210C332A"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b/>
                <w:bCs/>
                <w:color w:val="000000"/>
                <w:sz w:val="20"/>
                <w:szCs w:val="20"/>
              </w:rPr>
              <w:t>Τόνωση των ενεργητικών πολιτικών απασχόλησης</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6C138462"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3CA914C"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D34E773"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01A014A0"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7543FC8A"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4C3C1FBD"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399A605D"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473" w:type="dxa"/>
            <w:tcBorders>
              <w:top w:val="single" w:sz="4" w:space="0" w:color="auto"/>
              <w:left w:val="nil"/>
              <w:bottom w:val="single" w:sz="4" w:space="0" w:color="auto"/>
              <w:right w:val="single" w:sz="4" w:space="0" w:color="auto"/>
            </w:tcBorders>
            <w:shd w:val="clear" w:color="auto" w:fill="auto"/>
            <w:noWrap/>
            <w:vAlign w:val="center"/>
          </w:tcPr>
          <w:p w14:paraId="726FAD4B"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41580A76"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69962037"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3F5EC588"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31CCCD4C"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18EC9CC0"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94" w:type="dxa"/>
            <w:tcBorders>
              <w:top w:val="single" w:sz="4" w:space="0" w:color="auto"/>
              <w:left w:val="nil"/>
              <w:bottom w:val="single" w:sz="4" w:space="0" w:color="auto"/>
              <w:right w:val="single" w:sz="4" w:space="0" w:color="auto"/>
            </w:tcBorders>
            <w:shd w:val="clear" w:color="auto" w:fill="auto"/>
            <w:noWrap/>
            <w:vAlign w:val="center"/>
          </w:tcPr>
          <w:p w14:paraId="484637CF"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r>
      <w:tr w:rsidR="002A2422" w14:paraId="312EED0B" w14:textId="77777777">
        <w:trPr>
          <w:trHeight w:val="286"/>
          <w:jc w:val="center"/>
        </w:trPr>
        <w:tc>
          <w:tcPr>
            <w:tcW w:w="3472" w:type="dxa"/>
            <w:tcBorders>
              <w:top w:val="single" w:sz="4" w:space="0" w:color="auto"/>
              <w:left w:val="single" w:sz="4" w:space="0" w:color="auto"/>
              <w:bottom w:val="single" w:sz="4" w:space="0" w:color="auto"/>
              <w:right w:val="single" w:sz="4" w:space="0" w:color="auto"/>
            </w:tcBorders>
            <w:shd w:val="clear" w:color="auto" w:fill="auto"/>
            <w:vAlign w:val="bottom"/>
          </w:tcPr>
          <w:p w14:paraId="1AE02E4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Δράσεις εκπαίδευσης - κατάρτισης εργαζομένων</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255CF805"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7AA3AC8F"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741FD47F"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0427F15E"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0B6365EA"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7F496F69"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3F441232"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473" w:type="dxa"/>
            <w:tcBorders>
              <w:top w:val="single" w:sz="4" w:space="0" w:color="auto"/>
              <w:left w:val="nil"/>
              <w:bottom w:val="single" w:sz="4" w:space="0" w:color="auto"/>
              <w:right w:val="single" w:sz="4" w:space="0" w:color="auto"/>
            </w:tcBorders>
            <w:shd w:val="clear" w:color="auto" w:fill="auto"/>
            <w:noWrap/>
            <w:vAlign w:val="center"/>
          </w:tcPr>
          <w:p w14:paraId="317AD62A"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076E678"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7C7461EE"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17DDED96"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37F04C5D"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18AE6075"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94" w:type="dxa"/>
            <w:tcBorders>
              <w:top w:val="single" w:sz="4" w:space="0" w:color="auto"/>
              <w:left w:val="nil"/>
              <w:bottom w:val="single" w:sz="4" w:space="0" w:color="auto"/>
              <w:right w:val="single" w:sz="4" w:space="0" w:color="auto"/>
            </w:tcBorders>
            <w:shd w:val="clear" w:color="auto" w:fill="auto"/>
            <w:noWrap/>
            <w:vAlign w:val="center"/>
          </w:tcPr>
          <w:p w14:paraId="74B725B8"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r>
      <w:tr w:rsidR="002A2422" w14:paraId="2FA9509E" w14:textId="77777777">
        <w:trPr>
          <w:trHeight w:val="573"/>
          <w:jc w:val="center"/>
        </w:trPr>
        <w:tc>
          <w:tcPr>
            <w:tcW w:w="3472" w:type="dxa"/>
            <w:tcBorders>
              <w:top w:val="single" w:sz="4" w:space="0" w:color="auto"/>
              <w:left w:val="single" w:sz="4" w:space="0" w:color="auto"/>
              <w:bottom w:val="single" w:sz="4" w:space="0" w:color="auto"/>
              <w:right w:val="single" w:sz="4" w:space="0" w:color="auto"/>
            </w:tcBorders>
            <w:shd w:val="clear" w:color="auto" w:fill="auto"/>
            <w:vAlign w:val="bottom"/>
          </w:tcPr>
          <w:p w14:paraId="704899BB"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Ενσωμάτωση ευπαθών ομάδων πληθυσμού στο εργατικό δυναμικό</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2C3E99DD"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78A181BB"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66FAE9F4"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2EE1BC5"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3AC1E25"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3D0D5984"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44300242"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473" w:type="dxa"/>
            <w:tcBorders>
              <w:top w:val="single" w:sz="4" w:space="0" w:color="auto"/>
              <w:left w:val="nil"/>
              <w:bottom w:val="single" w:sz="4" w:space="0" w:color="auto"/>
              <w:right w:val="single" w:sz="4" w:space="0" w:color="auto"/>
            </w:tcBorders>
            <w:shd w:val="clear" w:color="auto" w:fill="auto"/>
            <w:noWrap/>
            <w:vAlign w:val="center"/>
          </w:tcPr>
          <w:p w14:paraId="00D367A3"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493B7A88"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09D89498"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54C93A59"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46D04BD6"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3FFA32F9"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94" w:type="dxa"/>
            <w:tcBorders>
              <w:top w:val="single" w:sz="4" w:space="0" w:color="auto"/>
              <w:left w:val="nil"/>
              <w:bottom w:val="single" w:sz="4" w:space="0" w:color="auto"/>
              <w:right w:val="single" w:sz="4" w:space="0" w:color="auto"/>
            </w:tcBorders>
            <w:shd w:val="clear" w:color="auto" w:fill="auto"/>
            <w:noWrap/>
            <w:vAlign w:val="center"/>
          </w:tcPr>
          <w:p w14:paraId="7C825950"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r>
      <w:tr w:rsidR="002A2422" w14:paraId="4573FDE0" w14:textId="77777777">
        <w:trPr>
          <w:trHeight w:val="573"/>
          <w:jc w:val="center"/>
        </w:trPr>
        <w:tc>
          <w:tcPr>
            <w:tcW w:w="3472" w:type="dxa"/>
            <w:tcBorders>
              <w:top w:val="single" w:sz="4" w:space="0" w:color="auto"/>
              <w:left w:val="single" w:sz="4" w:space="0" w:color="auto"/>
              <w:bottom w:val="single" w:sz="4" w:space="0" w:color="auto"/>
              <w:right w:val="single" w:sz="4" w:space="0" w:color="auto"/>
            </w:tcBorders>
            <w:shd w:val="clear" w:color="auto" w:fill="auto"/>
            <w:vAlign w:val="bottom"/>
          </w:tcPr>
          <w:p w14:paraId="0D868F4C"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color w:val="000000"/>
                <w:sz w:val="20"/>
                <w:szCs w:val="20"/>
              </w:rPr>
              <w:t>Κοινωνικές επενδύσεις (στήριξη της οικογένειας, ενίσχυση προσχολικής αγωγής)</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7E341E89"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30847C5C"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65A3A25F"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51990541"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766B7A48"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143F1D09"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5449A5EE"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473" w:type="dxa"/>
            <w:tcBorders>
              <w:top w:val="single" w:sz="4" w:space="0" w:color="auto"/>
              <w:left w:val="nil"/>
              <w:bottom w:val="single" w:sz="4" w:space="0" w:color="auto"/>
              <w:right w:val="single" w:sz="4" w:space="0" w:color="auto"/>
            </w:tcBorders>
            <w:shd w:val="clear" w:color="auto" w:fill="auto"/>
            <w:noWrap/>
            <w:vAlign w:val="center"/>
          </w:tcPr>
          <w:p w14:paraId="286F7620"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7137B39"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216B0C21"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22BD2056"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4C8E4E9F"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0A6AF944"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94" w:type="dxa"/>
            <w:tcBorders>
              <w:top w:val="single" w:sz="4" w:space="0" w:color="auto"/>
              <w:left w:val="nil"/>
              <w:bottom w:val="single" w:sz="4" w:space="0" w:color="auto"/>
              <w:right w:val="single" w:sz="4" w:space="0" w:color="auto"/>
            </w:tcBorders>
            <w:shd w:val="clear" w:color="auto" w:fill="auto"/>
            <w:noWrap/>
            <w:vAlign w:val="center"/>
          </w:tcPr>
          <w:p w14:paraId="44E94E77"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r>
      <w:tr w:rsidR="002A2422" w14:paraId="4209D593" w14:textId="77777777">
        <w:trPr>
          <w:trHeight w:val="573"/>
          <w:jc w:val="center"/>
        </w:trPr>
        <w:tc>
          <w:tcPr>
            <w:tcW w:w="3472" w:type="dxa"/>
            <w:tcBorders>
              <w:top w:val="single" w:sz="4" w:space="0" w:color="auto"/>
              <w:left w:val="single" w:sz="4" w:space="0" w:color="auto"/>
              <w:bottom w:val="single" w:sz="4" w:space="0" w:color="auto"/>
              <w:right w:val="single" w:sz="4" w:space="0" w:color="auto"/>
            </w:tcBorders>
            <w:shd w:val="clear" w:color="auto" w:fill="auto"/>
            <w:vAlign w:val="bottom"/>
          </w:tcPr>
          <w:p w14:paraId="0DDF61A1"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Ενσωμάτωση ευπαθών ομάδων πληθυσμού στην εκπαίδευση</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DB11C81"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1E9F517D"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6105ECF8"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3B60C7A7"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0AD8182E"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1F244D44"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4EB4F827"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473" w:type="dxa"/>
            <w:tcBorders>
              <w:top w:val="single" w:sz="4" w:space="0" w:color="auto"/>
              <w:left w:val="nil"/>
              <w:bottom w:val="single" w:sz="4" w:space="0" w:color="auto"/>
              <w:right w:val="single" w:sz="4" w:space="0" w:color="auto"/>
            </w:tcBorders>
            <w:shd w:val="clear" w:color="auto" w:fill="auto"/>
            <w:noWrap/>
            <w:vAlign w:val="center"/>
          </w:tcPr>
          <w:p w14:paraId="0FA0D0D4"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277814A2"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4BC467F"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05E94018"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604C96E8"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75463957"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94" w:type="dxa"/>
            <w:tcBorders>
              <w:top w:val="single" w:sz="4" w:space="0" w:color="auto"/>
              <w:left w:val="nil"/>
              <w:bottom w:val="single" w:sz="4" w:space="0" w:color="auto"/>
              <w:right w:val="single" w:sz="4" w:space="0" w:color="auto"/>
            </w:tcBorders>
            <w:shd w:val="clear" w:color="auto" w:fill="auto"/>
            <w:noWrap/>
            <w:vAlign w:val="center"/>
          </w:tcPr>
          <w:p w14:paraId="2212B080"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r>
      <w:tr w:rsidR="002A2422" w14:paraId="7377E819" w14:textId="77777777">
        <w:trPr>
          <w:trHeight w:val="573"/>
          <w:jc w:val="center"/>
        </w:trPr>
        <w:tc>
          <w:tcPr>
            <w:tcW w:w="3472" w:type="dxa"/>
            <w:tcBorders>
              <w:top w:val="single" w:sz="4" w:space="0" w:color="auto"/>
              <w:left w:val="single" w:sz="4" w:space="0" w:color="auto"/>
              <w:bottom w:val="single" w:sz="4" w:space="0" w:color="auto"/>
              <w:right w:val="single" w:sz="4" w:space="0" w:color="auto"/>
            </w:tcBorders>
            <w:shd w:val="clear" w:color="auto" w:fill="auto"/>
            <w:vAlign w:val="bottom"/>
          </w:tcPr>
          <w:p w14:paraId="0E532F4A"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Ενίσχυση υποδομών για βελτίωση της ενσωμάτωσης ΑΜΕΑ</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2849D6EB"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33C6AF38"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683CB382"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7BBF7CF5"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7C29B112"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667AF94C"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16BAB8E5"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473" w:type="dxa"/>
            <w:tcBorders>
              <w:top w:val="single" w:sz="4" w:space="0" w:color="auto"/>
              <w:left w:val="nil"/>
              <w:bottom w:val="single" w:sz="4" w:space="0" w:color="auto"/>
              <w:right w:val="single" w:sz="4" w:space="0" w:color="auto"/>
            </w:tcBorders>
            <w:shd w:val="clear" w:color="auto" w:fill="auto"/>
            <w:noWrap/>
            <w:vAlign w:val="center"/>
          </w:tcPr>
          <w:p w14:paraId="1453EC55"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729E22C3"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37A88149"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56749D78"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2C9D72A"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2450468B"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94" w:type="dxa"/>
            <w:tcBorders>
              <w:top w:val="single" w:sz="4" w:space="0" w:color="auto"/>
              <w:left w:val="nil"/>
              <w:bottom w:val="single" w:sz="4" w:space="0" w:color="auto"/>
              <w:right w:val="single" w:sz="4" w:space="0" w:color="auto"/>
            </w:tcBorders>
            <w:shd w:val="clear" w:color="auto" w:fill="auto"/>
            <w:noWrap/>
            <w:vAlign w:val="center"/>
          </w:tcPr>
          <w:p w14:paraId="36AF05A2"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r>
      <w:tr w:rsidR="002A2422" w14:paraId="4CB95A64" w14:textId="77777777">
        <w:trPr>
          <w:trHeight w:val="573"/>
          <w:jc w:val="center"/>
        </w:trPr>
        <w:tc>
          <w:tcPr>
            <w:tcW w:w="3472" w:type="dxa"/>
            <w:tcBorders>
              <w:top w:val="single" w:sz="4" w:space="0" w:color="auto"/>
              <w:left w:val="single" w:sz="4" w:space="0" w:color="auto"/>
              <w:bottom w:val="single" w:sz="4" w:space="0" w:color="auto"/>
              <w:right w:val="single" w:sz="4" w:space="0" w:color="auto"/>
            </w:tcBorders>
            <w:shd w:val="clear" w:color="auto" w:fill="auto"/>
            <w:vAlign w:val="bottom"/>
          </w:tcPr>
          <w:p w14:paraId="5A0FF586"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Αντιμετώπιση ανισοτήτων στις απομακρυσμένες και νησιωτικές περιοχές</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314B0BFE"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2717E1D9"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5A3FFBC0"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63A9DE3F"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06C00D81"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10D2AF96"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7DA6B6ED"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473" w:type="dxa"/>
            <w:tcBorders>
              <w:top w:val="single" w:sz="4" w:space="0" w:color="auto"/>
              <w:left w:val="nil"/>
              <w:bottom w:val="single" w:sz="4" w:space="0" w:color="auto"/>
              <w:right w:val="single" w:sz="4" w:space="0" w:color="auto"/>
            </w:tcBorders>
            <w:shd w:val="clear" w:color="auto" w:fill="auto"/>
            <w:noWrap/>
            <w:vAlign w:val="center"/>
          </w:tcPr>
          <w:p w14:paraId="7FC48D17"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3265BA3F"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03A6C55A"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2FEDC598"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4FC21F06"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652D1BF8"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94" w:type="dxa"/>
            <w:tcBorders>
              <w:top w:val="single" w:sz="4" w:space="0" w:color="auto"/>
              <w:left w:val="nil"/>
              <w:bottom w:val="single" w:sz="4" w:space="0" w:color="auto"/>
              <w:right w:val="single" w:sz="4" w:space="0" w:color="auto"/>
            </w:tcBorders>
            <w:shd w:val="clear" w:color="auto" w:fill="auto"/>
            <w:noWrap/>
            <w:vAlign w:val="center"/>
          </w:tcPr>
          <w:p w14:paraId="0E96DD6D"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r>
      <w:tr w:rsidR="002A2422" w14:paraId="70D64B93" w14:textId="77777777">
        <w:trPr>
          <w:trHeight w:val="573"/>
          <w:jc w:val="center"/>
        </w:trPr>
        <w:tc>
          <w:tcPr>
            <w:tcW w:w="3472" w:type="dxa"/>
            <w:tcBorders>
              <w:top w:val="single" w:sz="4" w:space="0" w:color="auto"/>
              <w:left w:val="single" w:sz="4" w:space="0" w:color="auto"/>
              <w:bottom w:val="single" w:sz="4" w:space="0" w:color="auto"/>
              <w:right w:val="single" w:sz="4" w:space="0" w:color="auto"/>
            </w:tcBorders>
            <w:shd w:val="clear" w:color="auto" w:fill="auto"/>
            <w:vAlign w:val="bottom"/>
          </w:tcPr>
          <w:p w14:paraId="7DCD8637"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Ολοκληρωμένη ανάπτυξη των αστικών, αγροτικών και παράκτιων περιοχών</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50A2EEA8"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15AA747B"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743572B"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7D73E735"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6279CD3E"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75C3C06D"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71BA0DEE"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473" w:type="dxa"/>
            <w:tcBorders>
              <w:top w:val="single" w:sz="4" w:space="0" w:color="auto"/>
              <w:left w:val="nil"/>
              <w:bottom w:val="single" w:sz="4" w:space="0" w:color="auto"/>
              <w:right w:val="single" w:sz="4" w:space="0" w:color="auto"/>
            </w:tcBorders>
            <w:shd w:val="clear" w:color="auto" w:fill="auto"/>
            <w:noWrap/>
            <w:vAlign w:val="center"/>
          </w:tcPr>
          <w:p w14:paraId="09B558E1"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0D1F5522"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06119EF8"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6D0C4A9C"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0B973D8F"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4421463B"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94" w:type="dxa"/>
            <w:tcBorders>
              <w:top w:val="single" w:sz="4" w:space="0" w:color="auto"/>
              <w:left w:val="nil"/>
              <w:bottom w:val="single" w:sz="4" w:space="0" w:color="auto"/>
              <w:right w:val="single" w:sz="4" w:space="0" w:color="auto"/>
            </w:tcBorders>
            <w:shd w:val="clear" w:color="auto" w:fill="auto"/>
            <w:noWrap/>
            <w:vAlign w:val="center"/>
          </w:tcPr>
          <w:p w14:paraId="4B901083"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r>
      <w:tr w:rsidR="002A2422" w14:paraId="09FB3CA0" w14:textId="77777777">
        <w:trPr>
          <w:trHeight w:val="573"/>
          <w:jc w:val="center"/>
        </w:trPr>
        <w:tc>
          <w:tcPr>
            <w:tcW w:w="3472" w:type="dxa"/>
            <w:tcBorders>
              <w:top w:val="single" w:sz="4" w:space="0" w:color="auto"/>
              <w:left w:val="single" w:sz="4" w:space="0" w:color="auto"/>
              <w:bottom w:val="single" w:sz="4" w:space="0" w:color="auto"/>
              <w:right w:val="single" w:sz="4" w:space="0" w:color="auto"/>
            </w:tcBorders>
            <w:shd w:val="clear" w:color="auto" w:fill="auto"/>
            <w:vAlign w:val="bottom"/>
          </w:tcPr>
          <w:p w14:paraId="681E4C5F"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Ανάπτυξη και εκσυγχρονισμός υποδομών όλων των βαθμίδων εκπαίδευσης</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6D64D005"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F8D4527"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79A2D463"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76BAD764"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78E61A3A"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2E890980"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5A3E32AA"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473" w:type="dxa"/>
            <w:tcBorders>
              <w:top w:val="single" w:sz="4" w:space="0" w:color="auto"/>
              <w:left w:val="nil"/>
              <w:bottom w:val="single" w:sz="4" w:space="0" w:color="auto"/>
              <w:right w:val="single" w:sz="4" w:space="0" w:color="auto"/>
            </w:tcBorders>
            <w:shd w:val="clear" w:color="auto" w:fill="auto"/>
            <w:noWrap/>
            <w:vAlign w:val="center"/>
          </w:tcPr>
          <w:p w14:paraId="1F2A8252"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3CD6401B"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02662E1E"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2503F45D"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23C267DC"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741725C1"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94" w:type="dxa"/>
            <w:tcBorders>
              <w:top w:val="single" w:sz="4" w:space="0" w:color="auto"/>
              <w:left w:val="nil"/>
              <w:bottom w:val="single" w:sz="4" w:space="0" w:color="auto"/>
              <w:right w:val="single" w:sz="4" w:space="0" w:color="auto"/>
            </w:tcBorders>
            <w:shd w:val="clear" w:color="auto" w:fill="auto"/>
            <w:noWrap/>
            <w:vAlign w:val="center"/>
          </w:tcPr>
          <w:p w14:paraId="37105E37"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r>
      <w:tr w:rsidR="002A2422" w14:paraId="1AF28B58" w14:textId="77777777">
        <w:trPr>
          <w:trHeight w:val="286"/>
          <w:jc w:val="center"/>
        </w:trPr>
        <w:tc>
          <w:tcPr>
            <w:tcW w:w="3472" w:type="dxa"/>
            <w:tcBorders>
              <w:top w:val="single" w:sz="4" w:space="0" w:color="auto"/>
              <w:left w:val="single" w:sz="4" w:space="0" w:color="auto"/>
              <w:bottom w:val="single" w:sz="4" w:space="0" w:color="auto"/>
              <w:right w:val="single" w:sz="4" w:space="0" w:color="auto"/>
            </w:tcBorders>
            <w:shd w:val="clear" w:color="auto" w:fill="auto"/>
            <w:vAlign w:val="bottom"/>
          </w:tcPr>
          <w:p w14:paraId="06517509"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Διεθνοποίηση των ΑΕΙ</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7E038281"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67B27D75"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583CF3D"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6CB239EA"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0C64AF49"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0DA53EF1"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176C589A"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473" w:type="dxa"/>
            <w:tcBorders>
              <w:top w:val="single" w:sz="4" w:space="0" w:color="auto"/>
              <w:left w:val="nil"/>
              <w:bottom w:val="single" w:sz="4" w:space="0" w:color="auto"/>
              <w:right w:val="single" w:sz="4" w:space="0" w:color="auto"/>
            </w:tcBorders>
            <w:shd w:val="clear" w:color="auto" w:fill="auto"/>
            <w:noWrap/>
            <w:vAlign w:val="center"/>
          </w:tcPr>
          <w:p w14:paraId="328FD680"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324BC13"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34FFAFF"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6E5CD729"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7AB72784"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5F73FB3F"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94" w:type="dxa"/>
            <w:tcBorders>
              <w:top w:val="single" w:sz="4" w:space="0" w:color="auto"/>
              <w:left w:val="nil"/>
              <w:bottom w:val="single" w:sz="4" w:space="0" w:color="auto"/>
              <w:right w:val="single" w:sz="4" w:space="0" w:color="auto"/>
            </w:tcBorders>
            <w:shd w:val="clear" w:color="auto" w:fill="auto"/>
            <w:noWrap/>
            <w:vAlign w:val="center"/>
          </w:tcPr>
          <w:p w14:paraId="7F7A894F"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r>
      <w:tr w:rsidR="002A2422" w14:paraId="077482F5" w14:textId="77777777">
        <w:trPr>
          <w:trHeight w:val="573"/>
          <w:jc w:val="center"/>
        </w:trPr>
        <w:tc>
          <w:tcPr>
            <w:tcW w:w="3472" w:type="dxa"/>
            <w:tcBorders>
              <w:top w:val="single" w:sz="4" w:space="0" w:color="auto"/>
              <w:left w:val="single" w:sz="4" w:space="0" w:color="auto"/>
              <w:bottom w:val="single" w:sz="4" w:space="0" w:color="auto"/>
              <w:right w:val="single" w:sz="4" w:space="0" w:color="auto"/>
            </w:tcBorders>
            <w:shd w:val="clear" w:color="auto" w:fill="auto"/>
            <w:vAlign w:val="bottom"/>
          </w:tcPr>
          <w:p w14:paraId="65D87B52"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Προσέλκυση καταρτισμένων Ελλήνων από το εξωτερικό (</w:t>
            </w:r>
            <w:proofErr w:type="spellStart"/>
            <w:r>
              <w:rPr>
                <w:rFonts w:asciiTheme="minorHAnsi" w:eastAsia="Times New Roman" w:hAnsiTheme="minorHAnsi" w:cstheme="minorHAnsi"/>
                <w:color w:val="000000"/>
                <w:sz w:val="20"/>
                <w:szCs w:val="20"/>
              </w:rPr>
              <w:t>brain</w:t>
            </w:r>
            <w:proofErr w:type="spellEnd"/>
            <w:r>
              <w:rPr>
                <w:rFonts w:asciiTheme="minorHAnsi" w:eastAsia="Times New Roman" w:hAnsiTheme="minorHAnsi" w:cstheme="minorHAnsi"/>
                <w:color w:val="000000"/>
                <w:sz w:val="20"/>
                <w:szCs w:val="20"/>
              </w:rPr>
              <w:t xml:space="preserve"> </w:t>
            </w:r>
            <w:proofErr w:type="spellStart"/>
            <w:r>
              <w:rPr>
                <w:rFonts w:asciiTheme="minorHAnsi" w:eastAsia="Times New Roman" w:hAnsiTheme="minorHAnsi" w:cstheme="minorHAnsi"/>
                <w:color w:val="000000"/>
                <w:sz w:val="20"/>
                <w:szCs w:val="20"/>
              </w:rPr>
              <w:t>drain</w:t>
            </w:r>
            <w:proofErr w:type="spellEnd"/>
            <w:r>
              <w:rPr>
                <w:rFonts w:asciiTheme="minorHAnsi" w:eastAsia="Times New Roman" w:hAnsiTheme="minorHAnsi" w:cstheme="minorHAnsi"/>
                <w:color w:val="000000"/>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3CFFD626"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3DC75615"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233E3B26"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256FDA47"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F15957B"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0A1478A9"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4E65B13A"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473" w:type="dxa"/>
            <w:tcBorders>
              <w:top w:val="single" w:sz="4" w:space="0" w:color="auto"/>
              <w:left w:val="nil"/>
              <w:bottom w:val="single" w:sz="4" w:space="0" w:color="auto"/>
              <w:right w:val="single" w:sz="4" w:space="0" w:color="auto"/>
            </w:tcBorders>
            <w:shd w:val="clear" w:color="auto" w:fill="auto"/>
            <w:noWrap/>
            <w:vAlign w:val="center"/>
          </w:tcPr>
          <w:p w14:paraId="2E4CE300"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6AD442D"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501D4FA2"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0F84D92A"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768BD587"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6D8BA1DD"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94" w:type="dxa"/>
            <w:tcBorders>
              <w:top w:val="single" w:sz="4" w:space="0" w:color="auto"/>
              <w:left w:val="nil"/>
              <w:bottom w:val="single" w:sz="4" w:space="0" w:color="auto"/>
              <w:right w:val="single" w:sz="4" w:space="0" w:color="auto"/>
            </w:tcBorders>
            <w:shd w:val="clear" w:color="auto" w:fill="auto"/>
            <w:noWrap/>
            <w:vAlign w:val="center"/>
          </w:tcPr>
          <w:p w14:paraId="20CD8503"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r>
      <w:tr w:rsidR="002A2422" w14:paraId="41F483D1" w14:textId="77777777">
        <w:trPr>
          <w:trHeight w:val="286"/>
          <w:jc w:val="center"/>
        </w:trPr>
        <w:tc>
          <w:tcPr>
            <w:tcW w:w="3472" w:type="dxa"/>
            <w:tcBorders>
              <w:top w:val="single" w:sz="4" w:space="0" w:color="auto"/>
              <w:left w:val="single" w:sz="4" w:space="0" w:color="auto"/>
              <w:bottom w:val="single" w:sz="4" w:space="0" w:color="auto"/>
              <w:right w:val="single" w:sz="4" w:space="0" w:color="auto"/>
            </w:tcBorders>
            <w:shd w:val="clear" w:color="auto" w:fill="auto"/>
            <w:vAlign w:val="bottom"/>
          </w:tcPr>
          <w:p w14:paraId="1BD0B3B1"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Ασφάλεια, προστασία και δικαιοσύνη</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308A5A1B"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6AF7841"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54A5232A"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5E42DC05"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5FF9CE2"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7A32679C"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7ABDBFE2"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473" w:type="dxa"/>
            <w:tcBorders>
              <w:top w:val="single" w:sz="4" w:space="0" w:color="auto"/>
              <w:left w:val="nil"/>
              <w:bottom w:val="single" w:sz="4" w:space="0" w:color="auto"/>
              <w:right w:val="single" w:sz="4" w:space="0" w:color="auto"/>
            </w:tcBorders>
            <w:shd w:val="clear" w:color="auto" w:fill="auto"/>
            <w:noWrap/>
            <w:vAlign w:val="center"/>
          </w:tcPr>
          <w:p w14:paraId="5C7736D0"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647EB130"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6B60604B"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6B5AFFA0"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1D0D8A00"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2B73D2A1"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94" w:type="dxa"/>
            <w:tcBorders>
              <w:top w:val="single" w:sz="4" w:space="0" w:color="auto"/>
              <w:left w:val="nil"/>
              <w:bottom w:val="single" w:sz="4" w:space="0" w:color="auto"/>
              <w:right w:val="single" w:sz="4" w:space="0" w:color="auto"/>
            </w:tcBorders>
            <w:shd w:val="clear" w:color="auto" w:fill="auto"/>
            <w:noWrap/>
            <w:vAlign w:val="center"/>
          </w:tcPr>
          <w:p w14:paraId="15643FE9"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r>
      <w:tr w:rsidR="002A2422" w14:paraId="60752765" w14:textId="77777777">
        <w:trPr>
          <w:trHeight w:val="286"/>
          <w:jc w:val="center"/>
        </w:trPr>
        <w:tc>
          <w:tcPr>
            <w:tcW w:w="3472" w:type="dxa"/>
            <w:tcBorders>
              <w:top w:val="nil"/>
              <w:left w:val="nil"/>
              <w:bottom w:val="nil"/>
              <w:right w:val="nil"/>
            </w:tcBorders>
            <w:shd w:val="clear" w:color="auto" w:fill="auto"/>
            <w:vAlign w:val="bottom"/>
          </w:tcPr>
          <w:p w14:paraId="5C71CF47" w14:textId="77777777" w:rsidR="002A2422" w:rsidRDefault="002A2422">
            <w:pPr>
              <w:spacing w:line="240" w:lineRule="auto"/>
              <w:rPr>
                <w:rFonts w:asciiTheme="minorHAnsi" w:eastAsia="Times New Roman" w:hAnsiTheme="minorHAnsi" w:cstheme="minorHAnsi"/>
                <w:color w:val="4472C4"/>
                <w:sz w:val="20"/>
                <w:szCs w:val="20"/>
              </w:rPr>
            </w:pPr>
          </w:p>
        </w:tc>
        <w:tc>
          <w:tcPr>
            <w:tcW w:w="575" w:type="dxa"/>
            <w:tcBorders>
              <w:top w:val="nil"/>
              <w:left w:val="nil"/>
              <w:bottom w:val="nil"/>
              <w:right w:val="nil"/>
            </w:tcBorders>
            <w:shd w:val="clear" w:color="auto" w:fill="auto"/>
            <w:noWrap/>
            <w:vAlign w:val="bottom"/>
          </w:tcPr>
          <w:p w14:paraId="1529B548" w14:textId="77777777" w:rsidR="002A2422" w:rsidRDefault="002A2422">
            <w:pPr>
              <w:spacing w:line="240" w:lineRule="auto"/>
              <w:rPr>
                <w:rFonts w:asciiTheme="minorHAnsi" w:eastAsia="Times New Roman" w:hAnsiTheme="minorHAnsi" w:cstheme="minorHAnsi"/>
                <w:sz w:val="20"/>
                <w:szCs w:val="20"/>
              </w:rPr>
            </w:pPr>
          </w:p>
        </w:tc>
        <w:tc>
          <w:tcPr>
            <w:tcW w:w="575" w:type="dxa"/>
            <w:tcBorders>
              <w:top w:val="nil"/>
              <w:left w:val="nil"/>
              <w:bottom w:val="nil"/>
              <w:right w:val="nil"/>
            </w:tcBorders>
            <w:shd w:val="clear" w:color="auto" w:fill="auto"/>
            <w:noWrap/>
            <w:vAlign w:val="bottom"/>
          </w:tcPr>
          <w:p w14:paraId="7C1C4080" w14:textId="77777777" w:rsidR="002A2422" w:rsidRDefault="002A2422">
            <w:pPr>
              <w:spacing w:line="240" w:lineRule="auto"/>
              <w:rPr>
                <w:rFonts w:asciiTheme="minorHAnsi" w:eastAsia="Times New Roman" w:hAnsiTheme="minorHAnsi" w:cstheme="minorHAnsi"/>
                <w:sz w:val="20"/>
                <w:szCs w:val="20"/>
              </w:rPr>
            </w:pPr>
          </w:p>
        </w:tc>
        <w:tc>
          <w:tcPr>
            <w:tcW w:w="575" w:type="dxa"/>
            <w:tcBorders>
              <w:top w:val="nil"/>
              <w:left w:val="nil"/>
              <w:bottom w:val="nil"/>
              <w:right w:val="nil"/>
            </w:tcBorders>
            <w:shd w:val="clear" w:color="auto" w:fill="auto"/>
            <w:noWrap/>
            <w:vAlign w:val="bottom"/>
          </w:tcPr>
          <w:p w14:paraId="62E37B4A" w14:textId="77777777" w:rsidR="002A2422" w:rsidRDefault="002A2422">
            <w:pPr>
              <w:spacing w:line="240" w:lineRule="auto"/>
              <w:rPr>
                <w:rFonts w:asciiTheme="minorHAnsi" w:eastAsia="Times New Roman" w:hAnsiTheme="minorHAnsi" w:cstheme="minorHAnsi"/>
                <w:sz w:val="20"/>
                <w:szCs w:val="20"/>
              </w:rPr>
            </w:pPr>
          </w:p>
        </w:tc>
        <w:tc>
          <w:tcPr>
            <w:tcW w:w="575" w:type="dxa"/>
            <w:tcBorders>
              <w:top w:val="nil"/>
              <w:left w:val="nil"/>
              <w:bottom w:val="nil"/>
              <w:right w:val="nil"/>
            </w:tcBorders>
            <w:shd w:val="clear" w:color="auto" w:fill="auto"/>
            <w:noWrap/>
            <w:vAlign w:val="bottom"/>
          </w:tcPr>
          <w:p w14:paraId="4BFDAB69" w14:textId="77777777" w:rsidR="002A2422" w:rsidRDefault="002A2422">
            <w:pPr>
              <w:spacing w:line="240" w:lineRule="auto"/>
              <w:rPr>
                <w:rFonts w:asciiTheme="minorHAnsi" w:eastAsia="Times New Roman" w:hAnsiTheme="minorHAnsi" w:cstheme="minorHAnsi"/>
                <w:sz w:val="20"/>
                <w:szCs w:val="20"/>
              </w:rPr>
            </w:pPr>
          </w:p>
        </w:tc>
        <w:tc>
          <w:tcPr>
            <w:tcW w:w="575" w:type="dxa"/>
            <w:tcBorders>
              <w:top w:val="nil"/>
              <w:left w:val="nil"/>
              <w:bottom w:val="nil"/>
              <w:right w:val="nil"/>
            </w:tcBorders>
            <w:shd w:val="clear" w:color="auto" w:fill="auto"/>
            <w:noWrap/>
            <w:vAlign w:val="bottom"/>
          </w:tcPr>
          <w:p w14:paraId="5DA5B9B4" w14:textId="77777777" w:rsidR="002A2422" w:rsidRDefault="002A2422">
            <w:pPr>
              <w:spacing w:line="240" w:lineRule="auto"/>
              <w:rPr>
                <w:rFonts w:asciiTheme="minorHAnsi" w:eastAsia="Times New Roman" w:hAnsiTheme="minorHAnsi" w:cstheme="minorHAnsi"/>
                <w:sz w:val="20"/>
                <w:szCs w:val="20"/>
              </w:rPr>
            </w:pPr>
          </w:p>
        </w:tc>
        <w:tc>
          <w:tcPr>
            <w:tcW w:w="523" w:type="dxa"/>
            <w:tcBorders>
              <w:top w:val="nil"/>
              <w:left w:val="nil"/>
              <w:bottom w:val="nil"/>
              <w:right w:val="nil"/>
            </w:tcBorders>
            <w:shd w:val="clear" w:color="auto" w:fill="auto"/>
            <w:noWrap/>
            <w:vAlign w:val="bottom"/>
          </w:tcPr>
          <w:p w14:paraId="39D21112" w14:textId="77777777" w:rsidR="002A2422" w:rsidRDefault="002A2422">
            <w:pPr>
              <w:spacing w:line="240" w:lineRule="auto"/>
              <w:rPr>
                <w:rFonts w:asciiTheme="minorHAnsi" w:eastAsia="Times New Roman" w:hAnsiTheme="minorHAnsi" w:cstheme="minorHAnsi"/>
                <w:sz w:val="20"/>
                <w:szCs w:val="20"/>
              </w:rPr>
            </w:pPr>
          </w:p>
        </w:tc>
        <w:tc>
          <w:tcPr>
            <w:tcW w:w="780" w:type="dxa"/>
            <w:tcBorders>
              <w:top w:val="nil"/>
              <w:left w:val="nil"/>
              <w:bottom w:val="nil"/>
              <w:right w:val="nil"/>
            </w:tcBorders>
            <w:shd w:val="clear" w:color="auto" w:fill="auto"/>
            <w:noWrap/>
            <w:vAlign w:val="bottom"/>
          </w:tcPr>
          <w:p w14:paraId="4AE5C1D8" w14:textId="77777777" w:rsidR="002A2422" w:rsidRDefault="002A2422">
            <w:pPr>
              <w:spacing w:line="240" w:lineRule="auto"/>
              <w:rPr>
                <w:rFonts w:asciiTheme="minorHAnsi" w:eastAsia="Times New Roman" w:hAnsiTheme="minorHAnsi" w:cstheme="minorHAnsi"/>
                <w:sz w:val="20"/>
                <w:szCs w:val="20"/>
              </w:rPr>
            </w:pPr>
          </w:p>
        </w:tc>
        <w:tc>
          <w:tcPr>
            <w:tcW w:w="473" w:type="dxa"/>
            <w:tcBorders>
              <w:top w:val="nil"/>
              <w:left w:val="nil"/>
              <w:bottom w:val="nil"/>
              <w:right w:val="nil"/>
            </w:tcBorders>
            <w:shd w:val="clear" w:color="auto" w:fill="auto"/>
            <w:noWrap/>
            <w:vAlign w:val="bottom"/>
          </w:tcPr>
          <w:p w14:paraId="6B4A614B" w14:textId="77777777" w:rsidR="002A2422" w:rsidRDefault="002A2422">
            <w:pPr>
              <w:spacing w:line="240" w:lineRule="auto"/>
              <w:rPr>
                <w:rFonts w:asciiTheme="minorHAnsi" w:eastAsia="Times New Roman" w:hAnsiTheme="minorHAnsi" w:cstheme="minorHAnsi"/>
                <w:sz w:val="20"/>
                <w:szCs w:val="20"/>
              </w:rPr>
            </w:pPr>
          </w:p>
        </w:tc>
        <w:tc>
          <w:tcPr>
            <w:tcW w:w="523" w:type="dxa"/>
            <w:tcBorders>
              <w:top w:val="nil"/>
              <w:left w:val="nil"/>
              <w:bottom w:val="nil"/>
              <w:right w:val="nil"/>
            </w:tcBorders>
            <w:shd w:val="clear" w:color="auto" w:fill="auto"/>
            <w:noWrap/>
            <w:vAlign w:val="bottom"/>
          </w:tcPr>
          <w:p w14:paraId="1F8374AE" w14:textId="77777777" w:rsidR="002A2422" w:rsidRDefault="002A2422">
            <w:pPr>
              <w:spacing w:line="240" w:lineRule="auto"/>
              <w:rPr>
                <w:rFonts w:asciiTheme="minorHAnsi" w:eastAsia="Times New Roman" w:hAnsiTheme="minorHAnsi" w:cstheme="minorHAnsi"/>
                <w:sz w:val="20"/>
                <w:szCs w:val="20"/>
              </w:rPr>
            </w:pPr>
          </w:p>
        </w:tc>
        <w:tc>
          <w:tcPr>
            <w:tcW w:w="575" w:type="dxa"/>
            <w:tcBorders>
              <w:top w:val="nil"/>
              <w:left w:val="nil"/>
              <w:bottom w:val="nil"/>
              <w:right w:val="nil"/>
            </w:tcBorders>
            <w:shd w:val="clear" w:color="auto" w:fill="auto"/>
            <w:noWrap/>
            <w:vAlign w:val="bottom"/>
          </w:tcPr>
          <w:p w14:paraId="1120098F" w14:textId="77777777" w:rsidR="002A2422" w:rsidRDefault="002A2422">
            <w:pPr>
              <w:spacing w:line="240" w:lineRule="auto"/>
              <w:rPr>
                <w:rFonts w:asciiTheme="minorHAnsi" w:eastAsia="Times New Roman" w:hAnsiTheme="minorHAnsi" w:cstheme="minorHAnsi"/>
                <w:sz w:val="20"/>
                <w:szCs w:val="20"/>
              </w:rPr>
            </w:pPr>
          </w:p>
        </w:tc>
        <w:tc>
          <w:tcPr>
            <w:tcW w:w="764" w:type="dxa"/>
            <w:tcBorders>
              <w:top w:val="nil"/>
              <w:left w:val="nil"/>
              <w:bottom w:val="nil"/>
              <w:right w:val="nil"/>
            </w:tcBorders>
            <w:shd w:val="clear" w:color="auto" w:fill="auto"/>
            <w:noWrap/>
            <w:vAlign w:val="bottom"/>
          </w:tcPr>
          <w:p w14:paraId="151B7E54" w14:textId="77777777" w:rsidR="002A2422" w:rsidRDefault="002A2422">
            <w:pPr>
              <w:spacing w:line="240" w:lineRule="auto"/>
              <w:rPr>
                <w:rFonts w:asciiTheme="minorHAnsi" w:eastAsia="Times New Roman" w:hAnsiTheme="minorHAnsi" w:cstheme="minorHAnsi"/>
                <w:sz w:val="20"/>
                <w:szCs w:val="20"/>
              </w:rPr>
            </w:pPr>
          </w:p>
        </w:tc>
        <w:tc>
          <w:tcPr>
            <w:tcW w:w="523" w:type="dxa"/>
            <w:tcBorders>
              <w:top w:val="nil"/>
              <w:left w:val="nil"/>
              <w:bottom w:val="nil"/>
              <w:right w:val="nil"/>
            </w:tcBorders>
            <w:shd w:val="clear" w:color="auto" w:fill="auto"/>
            <w:noWrap/>
            <w:vAlign w:val="bottom"/>
          </w:tcPr>
          <w:p w14:paraId="5ACA2C03" w14:textId="77777777" w:rsidR="002A2422" w:rsidRDefault="002A2422">
            <w:pPr>
              <w:spacing w:line="240" w:lineRule="auto"/>
              <w:rPr>
                <w:rFonts w:asciiTheme="minorHAnsi" w:eastAsia="Times New Roman" w:hAnsiTheme="minorHAnsi" w:cstheme="minorHAnsi"/>
                <w:sz w:val="20"/>
                <w:szCs w:val="20"/>
              </w:rPr>
            </w:pPr>
          </w:p>
        </w:tc>
        <w:tc>
          <w:tcPr>
            <w:tcW w:w="714" w:type="dxa"/>
            <w:tcBorders>
              <w:top w:val="nil"/>
              <w:left w:val="nil"/>
              <w:bottom w:val="nil"/>
              <w:right w:val="nil"/>
            </w:tcBorders>
            <w:shd w:val="clear" w:color="auto" w:fill="auto"/>
            <w:noWrap/>
            <w:vAlign w:val="bottom"/>
          </w:tcPr>
          <w:p w14:paraId="19076495" w14:textId="77777777" w:rsidR="002A2422" w:rsidRDefault="002A2422">
            <w:pPr>
              <w:spacing w:line="240" w:lineRule="auto"/>
              <w:rPr>
                <w:rFonts w:asciiTheme="minorHAnsi" w:eastAsia="Times New Roman" w:hAnsiTheme="minorHAnsi" w:cstheme="minorHAnsi"/>
                <w:sz w:val="20"/>
                <w:szCs w:val="20"/>
              </w:rPr>
            </w:pPr>
          </w:p>
        </w:tc>
        <w:tc>
          <w:tcPr>
            <w:tcW w:w="594" w:type="dxa"/>
            <w:tcBorders>
              <w:top w:val="nil"/>
              <w:left w:val="nil"/>
              <w:bottom w:val="nil"/>
              <w:right w:val="nil"/>
            </w:tcBorders>
            <w:shd w:val="clear" w:color="auto" w:fill="auto"/>
            <w:noWrap/>
            <w:vAlign w:val="bottom"/>
          </w:tcPr>
          <w:p w14:paraId="4BAA5469" w14:textId="77777777" w:rsidR="002A2422" w:rsidRDefault="002A2422">
            <w:pPr>
              <w:spacing w:line="240" w:lineRule="auto"/>
              <w:rPr>
                <w:rFonts w:asciiTheme="minorHAnsi" w:eastAsia="Times New Roman" w:hAnsiTheme="minorHAnsi" w:cstheme="minorHAnsi"/>
                <w:sz w:val="20"/>
                <w:szCs w:val="20"/>
              </w:rPr>
            </w:pPr>
          </w:p>
        </w:tc>
      </w:tr>
      <w:tr w:rsidR="002A2422" w14:paraId="6DA5BB6C" w14:textId="77777777">
        <w:trPr>
          <w:trHeight w:val="286"/>
          <w:jc w:val="center"/>
        </w:trPr>
        <w:tc>
          <w:tcPr>
            <w:tcW w:w="9985" w:type="dxa"/>
            <w:gridSpan w:val="12"/>
            <w:tcBorders>
              <w:top w:val="nil"/>
              <w:left w:val="nil"/>
              <w:bottom w:val="nil"/>
              <w:right w:val="nil"/>
            </w:tcBorders>
            <w:shd w:val="clear" w:color="auto" w:fill="auto"/>
            <w:vAlign w:val="bottom"/>
          </w:tcPr>
          <w:p w14:paraId="09753313" w14:textId="77777777" w:rsidR="002A2422" w:rsidRDefault="003B3AD7">
            <w:pPr>
              <w:spacing w:line="240" w:lineRule="auto"/>
              <w:rPr>
                <w:rFonts w:asciiTheme="minorHAnsi" w:eastAsia="Times New Roman" w:hAnsiTheme="minorHAnsi" w:cstheme="minorHAnsi"/>
                <w:sz w:val="20"/>
                <w:szCs w:val="20"/>
              </w:rPr>
            </w:pPr>
            <w:r>
              <w:rPr>
                <w:rFonts w:asciiTheme="minorHAnsi" w:eastAsia="Times New Roman" w:hAnsiTheme="minorHAnsi" w:cstheme="minorHAnsi"/>
                <w:color w:val="000000"/>
                <w:sz w:val="20"/>
                <w:szCs w:val="20"/>
              </w:rPr>
              <w:t xml:space="preserve">Σημείωση: </w:t>
            </w:r>
            <w:r>
              <w:rPr>
                <w:rFonts w:asciiTheme="minorHAnsi" w:eastAsia="Times New Roman" w:hAnsiTheme="minorHAnsi" w:cstheme="minorHAnsi"/>
                <w:color w:val="4472C4"/>
                <w:sz w:val="20"/>
                <w:szCs w:val="20"/>
              </w:rPr>
              <w:t>***</w:t>
            </w:r>
            <w:r>
              <w:rPr>
                <w:rFonts w:asciiTheme="minorHAnsi" w:eastAsia="Times New Roman" w:hAnsiTheme="minorHAnsi" w:cstheme="minorHAnsi"/>
                <w:color w:val="000000"/>
                <w:sz w:val="20"/>
                <w:szCs w:val="20"/>
              </w:rPr>
              <w:t xml:space="preserve"> - πολύ ισχυρή συσχέτιση, </w:t>
            </w:r>
            <w:r>
              <w:rPr>
                <w:rFonts w:asciiTheme="minorHAnsi" w:eastAsia="Times New Roman" w:hAnsiTheme="minorHAnsi" w:cstheme="minorHAnsi"/>
                <w:color w:val="4472C4"/>
                <w:sz w:val="20"/>
                <w:szCs w:val="20"/>
              </w:rPr>
              <w:t>**</w:t>
            </w:r>
            <w:r>
              <w:rPr>
                <w:rFonts w:asciiTheme="minorHAnsi" w:eastAsia="Times New Roman" w:hAnsiTheme="minorHAnsi" w:cstheme="minorHAnsi"/>
                <w:color w:val="000000"/>
                <w:sz w:val="20"/>
                <w:szCs w:val="20"/>
              </w:rPr>
              <w:t xml:space="preserve"> - ισχυρή συσχέτιση, </w:t>
            </w:r>
            <w:r>
              <w:rPr>
                <w:rFonts w:asciiTheme="minorHAnsi" w:eastAsia="Times New Roman" w:hAnsiTheme="minorHAnsi" w:cstheme="minorHAnsi"/>
                <w:color w:val="4472C4"/>
                <w:sz w:val="20"/>
                <w:szCs w:val="20"/>
              </w:rPr>
              <w:t>*</w:t>
            </w:r>
            <w:r>
              <w:rPr>
                <w:rFonts w:asciiTheme="minorHAnsi" w:eastAsia="Times New Roman" w:hAnsiTheme="minorHAnsi" w:cstheme="minorHAnsi"/>
                <w:color w:val="000000"/>
                <w:sz w:val="20"/>
                <w:szCs w:val="20"/>
              </w:rPr>
              <w:t xml:space="preserve"> - συσχέτιση</w:t>
            </w:r>
          </w:p>
        </w:tc>
        <w:tc>
          <w:tcPr>
            <w:tcW w:w="523" w:type="dxa"/>
            <w:tcBorders>
              <w:top w:val="nil"/>
              <w:left w:val="nil"/>
              <w:bottom w:val="nil"/>
              <w:right w:val="nil"/>
            </w:tcBorders>
            <w:shd w:val="clear" w:color="auto" w:fill="auto"/>
            <w:noWrap/>
            <w:vAlign w:val="bottom"/>
          </w:tcPr>
          <w:p w14:paraId="70350A29" w14:textId="77777777" w:rsidR="002A2422" w:rsidRDefault="002A2422">
            <w:pPr>
              <w:spacing w:line="240" w:lineRule="auto"/>
              <w:rPr>
                <w:rFonts w:asciiTheme="minorHAnsi" w:eastAsia="Times New Roman" w:hAnsiTheme="minorHAnsi" w:cstheme="minorHAnsi"/>
                <w:sz w:val="20"/>
                <w:szCs w:val="20"/>
              </w:rPr>
            </w:pPr>
          </w:p>
        </w:tc>
        <w:tc>
          <w:tcPr>
            <w:tcW w:w="714" w:type="dxa"/>
            <w:tcBorders>
              <w:top w:val="nil"/>
              <w:left w:val="nil"/>
              <w:bottom w:val="nil"/>
              <w:right w:val="nil"/>
            </w:tcBorders>
            <w:shd w:val="clear" w:color="auto" w:fill="auto"/>
            <w:noWrap/>
            <w:vAlign w:val="bottom"/>
          </w:tcPr>
          <w:p w14:paraId="3DD3B1D1" w14:textId="77777777" w:rsidR="002A2422" w:rsidRDefault="002A2422">
            <w:pPr>
              <w:spacing w:line="240" w:lineRule="auto"/>
              <w:rPr>
                <w:rFonts w:asciiTheme="minorHAnsi" w:eastAsia="Times New Roman" w:hAnsiTheme="minorHAnsi" w:cstheme="minorHAnsi"/>
                <w:sz w:val="20"/>
                <w:szCs w:val="20"/>
              </w:rPr>
            </w:pPr>
          </w:p>
        </w:tc>
        <w:tc>
          <w:tcPr>
            <w:tcW w:w="594" w:type="dxa"/>
            <w:tcBorders>
              <w:top w:val="nil"/>
              <w:left w:val="nil"/>
              <w:bottom w:val="nil"/>
              <w:right w:val="nil"/>
            </w:tcBorders>
            <w:shd w:val="clear" w:color="auto" w:fill="auto"/>
            <w:noWrap/>
            <w:vAlign w:val="bottom"/>
          </w:tcPr>
          <w:p w14:paraId="7D59808E" w14:textId="77777777" w:rsidR="002A2422" w:rsidRDefault="002A2422">
            <w:pPr>
              <w:spacing w:line="240" w:lineRule="auto"/>
              <w:rPr>
                <w:rFonts w:asciiTheme="minorHAnsi" w:eastAsia="Times New Roman" w:hAnsiTheme="minorHAnsi" w:cstheme="minorHAnsi"/>
                <w:sz w:val="20"/>
                <w:szCs w:val="20"/>
              </w:rPr>
            </w:pPr>
          </w:p>
        </w:tc>
      </w:tr>
    </w:tbl>
    <w:p w14:paraId="0A14178C" w14:textId="77777777" w:rsidR="002A2422" w:rsidRDefault="002A2422">
      <w:pPr>
        <w:spacing w:after="160" w:line="259" w:lineRule="auto"/>
        <w:rPr>
          <w:rFonts w:asciiTheme="minorHAnsi" w:eastAsia="Calibri" w:hAnsiTheme="minorHAnsi" w:cstheme="minorHAnsi"/>
          <w:sz w:val="24"/>
          <w:szCs w:val="24"/>
          <w:lang w:eastAsia="en-US"/>
        </w:rPr>
      </w:pPr>
    </w:p>
    <w:p w14:paraId="3FD80C55" w14:textId="77777777" w:rsidR="002A2422" w:rsidRDefault="002A2422">
      <w:pPr>
        <w:spacing w:after="160" w:line="259" w:lineRule="auto"/>
        <w:ind w:left="720"/>
        <w:contextualSpacing/>
        <w:rPr>
          <w:rFonts w:asciiTheme="minorHAnsi" w:eastAsia="Calibri" w:hAnsiTheme="minorHAnsi" w:cstheme="minorHAnsi"/>
          <w:b/>
          <w:bCs/>
          <w:color w:val="0070C0"/>
          <w:sz w:val="24"/>
          <w:szCs w:val="24"/>
          <w:lang w:eastAsia="en-US"/>
        </w:rPr>
      </w:pPr>
    </w:p>
    <w:p w14:paraId="5E5DF4BD" w14:textId="77777777" w:rsidR="002A2422" w:rsidRDefault="003B3AD7">
      <w:pPr>
        <w:pStyle w:val="4"/>
        <w:rPr>
          <w:lang w:eastAsia="en-US"/>
        </w:rPr>
      </w:pPr>
      <w:bookmarkStart w:id="29" w:name="_Toc68011190"/>
      <w:r>
        <w:rPr>
          <w:lang w:eastAsia="en-US"/>
        </w:rPr>
        <w:lastRenderedPageBreak/>
        <w:t>Ενίσχυση Εξωστρέφειας</w:t>
      </w:r>
      <w:bookmarkEnd w:id="29"/>
    </w:p>
    <w:p w14:paraId="5582EB06" w14:textId="77777777" w:rsidR="002A2422" w:rsidRDefault="002A2422">
      <w:pPr>
        <w:spacing w:after="160" w:line="259" w:lineRule="auto"/>
        <w:ind w:left="720"/>
        <w:contextualSpacing/>
        <w:rPr>
          <w:rFonts w:asciiTheme="minorHAnsi" w:eastAsia="Calibri" w:hAnsiTheme="minorHAnsi" w:cstheme="minorHAnsi"/>
          <w:b/>
          <w:bCs/>
          <w:color w:val="0070C0"/>
          <w:sz w:val="24"/>
          <w:szCs w:val="24"/>
          <w:lang w:eastAsia="en-US"/>
        </w:rPr>
      </w:pPr>
    </w:p>
    <w:p w14:paraId="1A7F2265" w14:textId="77777777" w:rsidR="002A2422" w:rsidRDefault="003B3AD7">
      <w:pPr>
        <w:spacing w:after="1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Ειδικότερες αναφορές του ΕΠΑ για τα θέματα του Πολιτισμού είναι:   </w:t>
      </w:r>
    </w:p>
    <w:p w14:paraId="1A572EAC" w14:textId="77777777" w:rsidR="002A2422" w:rsidRDefault="003B3AD7">
      <w:pPr>
        <w:spacing w:after="1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α) η προστασία και  ανάδειξη μνημείων, αρχαιολογικών χώρων και τόπων ιστορικού ενδιαφέροντος, β)  προστασία, ανάπτυξη και προβολή της πολιτιστικής κληρονομιάς, γ) τα μουσεία και πολιτιστικά κέντρα, δ) οι υποδομές και δράσεις σύγχρονου πολιτισμού, ε) οι πολιτιστικές και δημιουργικές βιομηχανίες και </w:t>
      </w:r>
      <w:proofErr w:type="spellStart"/>
      <w:r>
        <w:rPr>
          <w:rFonts w:asciiTheme="minorHAnsi" w:eastAsia="Calibri" w:hAnsiTheme="minorHAnsi" w:cstheme="minorHAnsi"/>
          <w:sz w:val="24"/>
          <w:szCs w:val="24"/>
          <w:lang w:eastAsia="en-US"/>
        </w:rPr>
        <w:t>στ</w:t>
      </w:r>
      <w:proofErr w:type="spellEnd"/>
      <w:r>
        <w:rPr>
          <w:rFonts w:asciiTheme="minorHAnsi" w:eastAsia="Calibri" w:hAnsiTheme="minorHAnsi" w:cstheme="minorHAnsi"/>
          <w:sz w:val="24"/>
          <w:szCs w:val="24"/>
          <w:lang w:eastAsia="en-US"/>
        </w:rPr>
        <w:t xml:space="preserve">) η δημιουργία και προώθηση εθνικού εμπορικού σήματος. </w:t>
      </w:r>
    </w:p>
    <w:p w14:paraId="1DA635E2" w14:textId="77777777" w:rsidR="002A2422" w:rsidRDefault="002A2422">
      <w:pPr>
        <w:spacing w:after="160"/>
        <w:rPr>
          <w:rFonts w:asciiTheme="minorHAnsi" w:eastAsia="Calibri" w:hAnsiTheme="minorHAnsi" w:cstheme="minorHAnsi"/>
          <w:sz w:val="24"/>
          <w:szCs w:val="24"/>
          <w:lang w:eastAsia="en-US"/>
        </w:rPr>
      </w:pPr>
    </w:p>
    <w:p w14:paraId="0C6DD7D3" w14:textId="77777777" w:rsidR="002A2422" w:rsidRDefault="002A2422">
      <w:pPr>
        <w:spacing w:after="160"/>
        <w:rPr>
          <w:rFonts w:asciiTheme="minorHAnsi" w:eastAsia="Calibri" w:hAnsiTheme="minorHAnsi" w:cstheme="minorHAnsi"/>
          <w:sz w:val="24"/>
          <w:szCs w:val="24"/>
          <w:lang w:eastAsia="en-US"/>
        </w:rPr>
      </w:pPr>
    </w:p>
    <w:tbl>
      <w:tblPr>
        <w:tblW w:w="11644" w:type="dxa"/>
        <w:jc w:val="center"/>
        <w:tblLook w:val="04A0" w:firstRow="1" w:lastRow="0" w:firstColumn="1" w:lastColumn="0" w:noHBand="0" w:noVBand="1"/>
      </w:tblPr>
      <w:tblGrid>
        <w:gridCol w:w="3266"/>
        <w:gridCol w:w="575"/>
        <w:gridCol w:w="655"/>
        <w:gridCol w:w="655"/>
        <w:gridCol w:w="575"/>
        <w:gridCol w:w="563"/>
        <w:gridCol w:w="523"/>
        <w:gridCol w:w="697"/>
        <w:gridCol w:w="523"/>
        <w:gridCol w:w="523"/>
        <w:gridCol w:w="523"/>
        <w:gridCol w:w="523"/>
        <w:gridCol w:w="523"/>
        <w:gridCol w:w="655"/>
        <w:gridCol w:w="865"/>
      </w:tblGrid>
      <w:tr w:rsidR="002A2422" w14:paraId="74814D5C" w14:textId="77777777">
        <w:trPr>
          <w:trHeight w:val="259"/>
          <w:jc w:val="center"/>
        </w:trPr>
        <w:tc>
          <w:tcPr>
            <w:tcW w:w="3266"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6CFD8062"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Προτεραιότητες και ενδεικτικά έργα</w:t>
            </w:r>
          </w:p>
        </w:tc>
        <w:tc>
          <w:tcPr>
            <w:tcW w:w="24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4331B6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Ειδικοί στόχοι</w:t>
            </w:r>
          </w:p>
        </w:tc>
        <w:tc>
          <w:tcPr>
            <w:tcW w:w="387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47AFE6C2"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Λοιπές προκλήσεις</w:t>
            </w:r>
          </w:p>
        </w:tc>
        <w:tc>
          <w:tcPr>
            <w:tcW w:w="20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234893A"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Δυνατότητες</w:t>
            </w:r>
          </w:p>
        </w:tc>
      </w:tr>
      <w:tr w:rsidR="002A2422" w14:paraId="4272F2BC" w14:textId="77777777">
        <w:trPr>
          <w:trHeight w:val="3085"/>
          <w:jc w:val="center"/>
        </w:trPr>
        <w:tc>
          <w:tcPr>
            <w:tcW w:w="3266" w:type="dxa"/>
            <w:vMerge/>
            <w:tcBorders>
              <w:top w:val="single" w:sz="4" w:space="0" w:color="auto"/>
              <w:left w:val="single" w:sz="4" w:space="0" w:color="auto"/>
              <w:bottom w:val="single" w:sz="4" w:space="0" w:color="auto"/>
              <w:right w:val="nil"/>
            </w:tcBorders>
            <w:vAlign w:val="center"/>
          </w:tcPr>
          <w:p w14:paraId="1F81B3B7" w14:textId="77777777" w:rsidR="002A2422" w:rsidRDefault="002A2422">
            <w:pPr>
              <w:spacing w:line="240" w:lineRule="auto"/>
              <w:rPr>
                <w:rFonts w:asciiTheme="minorHAnsi" w:eastAsia="Times New Roman" w:hAnsiTheme="minorHAnsi" w:cstheme="minorHAnsi"/>
                <w:color w:val="000000"/>
                <w:sz w:val="20"/>
                <w:szCs w:val="20"/>
              </w:rPr>
            </w:pPr>
          </w:p>
        </w:tc>
        <w:tc>
          <w:tcPr>
            <w:tcW w:w="57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14:paraId="4DD83F88"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Πολιτισμός</w:t>
            </w:r>
          </w:p>
        </w:tc>
        <w:tc>
          <w:tcPr>
            <w:tcW w:w="655" w:type="dxa"/>
            <w:tcBorders>
              <w:top w:val="single" w:sz="4" w:space="0" w:color="auto"/>
              <w:left w:val="nil"/>
              <w:bottom w:val="single" w:sz="4" w:space="0" w:color="auto"/>
              <w:right w:val="single" w:sz="4" w:space="0" w:color="auto"/>
            </w:tcBorders>
            <w:shd w:val="clear" w:color="auto" w:fill="auto"/>
            <w:noWrap/>
            <w:textDirection w:val="btLr"/>
            <w:vAlign w:val="bottom"/>
          </w:tcPr>
          <w:p w14:paraId="7C0A2C41"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Τουρισμός</w:t>
            </w:r>
          </w:p>
        </w:tc>
        <w:tc>
          <w:tcPr>
            <w:tcW w:w="655" w:type="dxa"/>
            <w:tcBorders>
              <w:top w:val="single" w:sz="4" w:space="0" w:color="auto"/>
              <w:left w:val="nil"/>
              <w:bottom w:val="single" w:sz="4" w:space="0" w:color="auto"/>
              <w:right w:val="single" w:sz="4" w:space="0" w:color="auto"/>
            </w:tcBorders>
            <w:shd w:val="clear" w:color="auto" w:fill="auto"/>
            <w:noWrap/>
            <w:textDirection w:val="btLr"/>
            <w:vAlign w:val="bottom"/>
          </w:tcPr>
          <w:p w14:paraId="2D50B060" w14:textId="77777777" w:rsidR="002A2422" w:rsidRDefault="003B3AD7">
            <w:pPr>
              <w:spacing w:line="240" w:lineRule="auto"/>
              <w:rPr>
                <w:rFonts w:asciiTheme="minorHAnsi" w:eastAsia="Times New Roman" w:hAnsiTheme="minorHAnsi" w:cstheme="minorHAnsi"/>
                <w:color w:val="000000"/>
                <w:sz w:val="20"/>
                <w:szCs w:val="20"/>
              </w:rPr>
            </w:pPr>
            <w:proofErr w:type="spellStart"/>
            <w:r>
              <w:rPr>
                <w:rFonts w:asciiTheme="minorHAnsi" w:eastAsia="Times New Roman" w:hAnsiTheme="minorHAnsi" w:cstheme="minorHAnsi"/>
                <w:color w:val="000000"/>
                <w:sz w:val="20"/>
                <w:szCs w:val="20"/>
              </w:rPr>
              <w:t>Αγροδιατροφικός</w:t>
            </w:r>
            <w:proofErr w:type="spellEnd"/>
            <w:r>
              <w:rPr>
                <w:rFonts w:asciiTheme="minorHAnsi" w:eastAsia="Times New Roman" w:hAnsiTheme="minorHAnsi" w:cstheme="minorHAnsi"/>
                <w:color w:val="000000"/>
                <w:sz w:val="20"/>
                <w:szCs w:val="20"/>
              </w:rPr>
              <w:t xml:space="preserve"> τομέας</w:t>
            </w:r>
          </w:p>
        </w:tc>
        <w:tc>
          <w:tcPr>
            <w:tcW w:w="575" w:type="dxa"/>
            <w:tcBorders>
              <w:top w:val="single" w:sz="4" w:space="0" w:color="auto"/>
              <w:left w:val="nil"/>
              <w:bottom w:val="single" w:sz="4" w:space="0" w:color="auto"/>
              <w:right w:val="single" w:sz="4" w:space="0" w:color="auto"/>
            </w:tcBorders>
            <w:shd w:val="clear" w:color="auto" w:fill="auto"/>
            <w:noWrap/>
            <w:textDirection w:val="btLr"/>
            <w:vAlign w:val="bottom"/>
          </w:tcPr>
          <w:p w14:paraId="0B8B28F9"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Βιομηχανία</w:t>
            </w:r>
          </w:p>
        </w:tc>
        <w:tc>
          <w:tcPr>
            <w:tcW w:w="563" w:type="dxa"/>
            <w:tcBorders>
              <w:top w:val="single" w:sz="4" w:space="0" w:color="auto"/>
              <w:left w:val="nil"/>
              <w:bottom w:val="single" w:sz="4" w:space="0" w:color="auto"/>
              <w:right w:val="single" w:sz="4" w:space="0" w:color="auto"/>
            </w:tcBorders>
            <w:shd w:val="clear" w:color="auto" w:fill="auto"/>
            <w:noWrap/>
            <w:textDirection w:val="btLr"/>
            <w:vAlign w:val="bottom"/>
          </w:tcPr>
          <w:p w14:paraId="74AF809E"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Κοινωνικές συνέπειες</w:t>
            </w:r>
          </w:p>
        </w:tc>
        <w:tc>
          <w:tcPr>
            <w:tcW w:w="523" w:type="dxa"/>
            <w:tcBorders>
              <w:top w:val="single" w:sz="4" w:space="0" w:color="auto"/>
              <w:left w:val="nil"/>
              <w:bottom w:val="single" w:sz="4" w:space="0" w:color="auto"/>
              <w:right w:val="single" w:sz="4" w:space="0" w:color="auto"/>
            </w:tcBorders>
            <w:shd w:val="clear" w:color="auto" w:fill="auto"/>
            <w:noWrap/>
            <w:textDirection w:val="btLr"/>
            <w:vAlign w:val="bottom"/>
          </w:tcPr>
          <w:p w14:paraId="0BE61507"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Δημοσιονομική πειθαρχία</w:t>
            </w:r>
          </w:p>
        </w:tc>
        <w:tc>
          <w:tcPr>
            <w:tcW w:w="697" w:type="dxa"/>
            <w:tcBorders>
              <w:top w:val="single" w:sz="4" w:space="0" w:color="auto"/>
              <w:left w:val="nil"/>
              <w:bottom w:val="single" w:sz="4" w:space="0" w:color="auto"/>
              <w:right w:val="single" w:sz="4" w:space="0" w:color="auto"/>
            </w:tcBorders>
            <w:shd w:val="clear" w:color="auto" w:fill="auto"/>
            <w:noWrap/>
            <w:textDirection w:val="btLr"/>
            <w:vAlign w:val="bottom"/>
          </w:tcPr>
          <w:p w14:paraId="14C1691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Αλλαγή παραγωγικού υποδείγματος</w:t>
            </w:r>
          </w:p>
        </w:tc>
        <w:tc>
          <w:tcPr>
            <w:tcW w:w="523" w:type="dxa"/>
            <w:tcBorders>
              <w:top w:val="single" w:sz="4" w:space="0" w:color="auto"/>
              <w:left w:val="nil"/>
              <w:bottom w:val="single" w:sz="4" w:space="0" w:color="auto"/>
              <w:right w:val="single" w:sz="4" w:space="0" w:color="auto"/>
            </w:tcBorders>
            <w:shd w:val="clear" w:color="auto" w:fill="auto"/>
            <w:noWrap/>
            <w:textDirection w:val="btLr"/>
            <w:vAlign w:val="bottom"/>
          </w:tcPr>
          <w:p w14:paraId="5AEA4085"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Τεχνολογικές εξελίξεις</w:t>
            </w:r>
          </w:p>
        </w:tc>
        <w:tc>
          <w:tcPr>
            <w:tcW w:w="523" w:type="dxa"/>
            <w:tcBorders>
              <w:top w:val="single" w:sz="4" w:space="0" w:color="auto"/>
              <w:left w:val="nil"/>
              <w:bottom w:val="single" w:sz="4" w:space="0" w:color="auto"/>
              <w:right w:val="single" w:sz="4" w:space="0" w:color="auto"/>
            </w:tcBorders>
            <w:shd w:val="clear" w:color="auto" w:fill="auto"/>
            <w:noWrap/>
            <w:textDirection w:val="btLr"/>
            <w:vAlign w:val="bottom"/>
          </w:tcPr>
          <w:p w14:paraId="67BA16FD"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Κλιματική αλλαγή / περιβάλλον</w:t>
            </w:r>
          </w:p>
        </w:tc>
        <w:tc>
          <w:tcPr>
            <w:tcW w:w="523" w:type="dxa"/>
            <w:tcBorders>
              <w:top w:val="single" w:sz="4" w:space="0" w:color="auto"/>
              <w:left w:val="nil"/>
              <w:bottom w:val="single" w:sz="4" w:space="0" w:color="auto"/>
              <w:right w:val="single" w:sz="4" w:space="0" w:color="auto"/>
            </w:tcBorders>
            <w:shd w:val="clear" w:color="auto" w:fill="auto"/>
            <w:noWrap/>
            <w:textDirection w:val="btLr"/>
            <w:vAlign w:val="bottom"/>
          </w:tcPr>
          <w:p w14:paraId="6910DE98"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Δημογραφικές εξελίξεις</w:t>
            </w:r>
          </w:p>
        </w:tc>
        <w:tc>
          <w:tcPr>
            <w:tcW w:w="523" w:type="dxa"/>
            <w:tcBorders>
              <w:top w:val="single" w:sz="4" w:space="0" w:color="auto"/>
              <w:left w:val="nil"/>
              <w:bottom w:val="single" w:sz="4" w:space="0" w:color="auto"/>
              <w:right w:val="single" w:sz="4" w:space="0" w:color="auto"/>
            </w:tcBorders>
            <w:shd w:val="clear" w:color="auto" w:fill="auto"/>
            <w:noWrap/>
            <w:textDirection w:val="btLr"/>
            <w:vAlign w:val="bottom"/>
          </w:tcPr>
          <w:p w14:paraId="473862A2"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Λοιπές προκλήσεις</w:t>
            </w:r>
          </w:p>
        </w:tc>
        <w:tc>
          <w:tcPr>
            <w:tcW w:w="523" w:type="dxa"/>
            <w:tcBorders>
              <w:top w:val="single" w:sz="4" w:space="0" w:color="auto"/>
              <w:left w:val="nil"/>
              <w:bottom w:val="single" w:sz="4" w:space="0" w:color="auto"/>
              <w:right w:val="single" w:sz="4" w:space="0" w:color="auto"/>
            </w:tcBorders>
            <w:shd w:val="clear" w:color="auto" w:fill="auto"/>
            <w:noWrap/>
            <w:textDirection w:val="btLr"/>
            <w:vAlign w:val="bottom"/>
          </w:tcPr>
          <w:p w14:paraId="592CAC87"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Γεωγραφική θέση</w:t>
            </w:r>
          </w:p>
        </w:tc>
        <w:tc>
          <w:tcPr>
            <w:tcW w:w="655" w:type="dxa"/>
            <w:tcBorders>
              <w:top w:val="single" w:sz="4" w:space="0" w:color="auto"/>
              <w:left w:val="nil"/>
              <w:bottom w:val="single" w:sz="4" w:space="0" w:color="auto"/>
              <w:right w:val="single" w:sz="4" w:space="0" w:color="auto"/>
            </w:tcBorders>
            <w:shd w:val="clear" w:color="auto" w:fill="auto"/>
            <w:noWrap/>
            <w:textDirection w:val="btLr"/>
            <w:vAlign w:val="bottom"/>
          </w:tcPr>
          <w:p w14:paraId="21E3A26B"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Φυσικό περιβάλλον</w:t>
            </w:r>
          </w:p>
        </w:tc>
        <w:tc>
          <w:tcPr>
            <w:tcW w:w="865" w:type="dxa"/>
            <w:tcBorders>
              <w:top w:val="single" w:sz="4" w:space="0" w:color="auto"/>
              <w:left w:val="nil"/>
              <w:bottom w:val="single" w:sz="4" w:space="0" w:color="auto"/>
              <w:right w:val="single" w:sz="4" w:space="0" w:color="auto"/>
            </w:tcBorders>
            <w:shd w:val="clear" w:color="auto" w:fill="auto"/>
            <w:noWrap/>
            <w:textDirection w:val="btLr"/>
            <w:vAlign w:val="bottom"/>
          </w:tcPr>
          <w:p w14:paraId="34DAA183"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Πολιτιστική κληρονομιά</w:t>
            </w:r>
          </w:p>
        </w:tc>
      </w:tr>
      <w:tr w:rsidR="002A2422" w14:paraId="2F9219D5" w14:textId="77777777">
        <w:trPr>
          <w:trHeight w:val="518"/>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bottom"/>
          </w:tcPr>
          <w:p w14:paraId="4ED6EF76"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Προώθηση τουρισμού με έμφαση στις ανερχόμενες και μη παραδοσιακές αγορές</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26AD618D"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64843656"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3F257276"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1AA4DDF4"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41E39F40"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4612A46"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E9F98F8"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3BBC3E42"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3FAD2D7D"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71B6E122"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0FE7D58F"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4BF87A55"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1679EF3D"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5EDBC143"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r>
      <w:tr w:rsidR="002A2422" w14:paraId="5143549C" w14:textId="77777777">
        <w:trPr>
          <w:trHeight w:val="518"/>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bottom"/>
          </w:tcPr>
          <w:p w14:paraId="12F5C8D6"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Προώθηση και ανάπτυξη υποδομών για εναλλακτικές μορφές τουρισμού</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7A268604"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32F04436"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46758FBA"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2717B0AF"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52E1E272"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3EB90415"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5ADE7D35"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24764375"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680693E0"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F63F74D"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191339A4"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1196F4F0"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673F630B"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05C77E42"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r>
      <w:tr w:rsidR="002A2422" w14:paraId="2A96748E" w14:textId="77777777">
        <w:trPr>
          <w:trHeight w:val="518"/>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bottom"/>
          </w:tcPr>
          <w:p w14:paraId="1F11CC13"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Ανάδειξη μνημείων, αρχαιολογικών χώρων και τόπων ιστορικού ενδιαφέροντος</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08CEC1DB"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7EEFB6F0"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4D4A00DC"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2B0FD283"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190BB639"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715A58E2"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3210CE70"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49CC6DBD"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429AB757"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4478499D"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5ACF10A"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66A7E0C6"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51670B75"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792F672F"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r>
      <w:tr w:rsidR="002A2422" w14:paraId="4EC5D305" w14:textId="77777777">
        <w:trPr>
          <w:trHeight w:val="518"/>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bottom"/>
          </w:tcPr>
          <w:p w14:paraId="69023670"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Προστασία και προβολή της Πολιτιστικής Κληρονομιάς</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14EF5223"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3C2ECE53"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6AAE162C"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339595E3"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0CA401A1"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0ADF4101"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31CD69BA"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305DDE69"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1C2A33D2"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1A12B251"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A4F9BA6"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3B13216C"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67F5F836"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6240107F"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r>
      <w:tr w:rsidR="002A2422" w14:paraId="72A7447E" w14:textId="77777777">
        <w:trPr>
          <w:trHeight w:val="259"/>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bottom"/>
          </w:tcPr>
          <w:p w14:paraId="163D3C76"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Μουσεία και πολιτιστικά κέντρα</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64545F2"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6A992EE7"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11A93388"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232A9331"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335D8DC7"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2714D001"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647C7F7E"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1733E968"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3D8DEC16"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08A6CF67"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026F59DE"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04D75D03"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5517FAE2"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140082D1"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r>
      <w:tr w:rsidR="002A2422" w14:paraId="7F6A36FC" w14:textId="77777777">
        <w:trPr>
          <w:trHeight w:val="259"/>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bottom"/>
          </w:tcPr>
          <w:p w14:paraId="15FB9B4C"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Υποδομές και δράσεις σύγχρονου πολιτισμού</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70818075"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3329FE24"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6D078BCF"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558B7125"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6180767A"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184DFE97"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032C9949"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6101425C"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085BB026"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40815B6D"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3D9D3239"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29C9570"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5C1DD6A2"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7FBFE2BC"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r>
      <w:tr w:rsidR="002A2422" w14:paraId="342809A4" w14:textId="77777777">
        <w:trPr>
          <w:trHeight w:val="259"/>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bottom"/>
          </w:tcPr>
          <w:p w14:paraId="28CC68F2"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Πολιτιστικές και δημιουργικές βιομηχανίες</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4E2C815"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4B22A1FF"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0AADA1B6"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2217013"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17D56225"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7022E5BA"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05D40AEF"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32B417C4"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420082BC"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28A4398B"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3F405BC5"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230D58FA"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521B4271"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7AD0B7CC"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r>
      <w:tr w:rsidR="002A2422" w14:paraId="218EAFBB" w14:textId="77777777">
        <w:trPr>
          <w:trHeight w:val="518"/>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bottom"/>
          </w:tcPr>
          <w:p w14:paraId="7F06AE38"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lastRenderedPageBreak/>
              <w:t>Ενίσχυση των επιχειρήσεων για αύξηση της εξωστρέφειας στις εθνικές και διεθνείς αγορές</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3E568BC9"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193D7829"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66378413"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7AD2BC2B"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0189B3B6"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1AC00AC9"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546A874D"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15D588DA"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3BEFD655"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7AFE4B20"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0894F913"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623F77D"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3CDA48FB"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1D2EA578"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r>
      <w:tr w:rsidR="002A2422" w14:paraId="318CBAA6" w14:textId="77777777">
        <w:trPr>
          <w:trHeight w:val="259"/>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bottom"/>
          </w:tcPr>
          <w:p w14:paraId="79F8692E"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Προώθηση ελληνικών προϊόντων στο εξωτερικό</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9E7F828"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6327E67A"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0CC1CF42"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0238D0E6"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58B2CAB0"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E16B88D"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8B2D84F"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7021156E"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404008C8"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739DC92E"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073BD277"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1D05D050"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03153F91"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6134617C"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r>
      <w:tr w:rsidR="002A2422" w14:paraId="34DD1B36" w14:textId="77777777">
        <w:trPr>
          <w:trHeight w:val="518"/>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bottom"/>
          </w:tcPr>
          <w:p w14:paraId="7EE152A9"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Ανάπτυξη και προώθηση προϊόντων με ΠΟΠ και ΠΓΕ</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252D0DDD"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4C79A37D"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7181C1D5"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19F5F6E7"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0C0DAC66"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039B8C8A"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016B488D"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0BCB0877"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07107C66"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1E8118C1"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99F6F14"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47534FC"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2F7E7A1F"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221FB12F"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r>
      <w:tr w:rsidR="002A2422" w14:paraId="3B039E2B" w14:textId="77777777">
        <w:trPr>
          <w:trHeight w:val="518"/>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bottom"/>
          </w:tcPr>
          <w:p w14:paraId="2169B6DE" w14:textId="77777777" w:rsidR="002A2422" w:rsidRDefault="003B3AD7">
            <w:pPr>
              <w:spacing w:line="240" w:lineRule="auto"/>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Δημιουργία και προώθηση εθνικού εμπορικού σήματος</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6F992ABA"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620917BB"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11E04C02"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64D0B1DB"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35440330"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0D3B201B"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304B7337"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98FE2CA"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7FFC491A"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0C8D75F7"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29F3409A"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74020C70"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 </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0DA4233F"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6CE8D36B" w14:textId="77777777" w:rsidR="002A2422" w:rsidRDefault="003B3AD7">
            <w:pPr>
              <w:spacing w:line="240" w:lineRule="auto"/>
              <w:rPr>
                <w:rFonts w:asciiTheme="minorHAnsi" w:eastAsia="Times New Roman" w:hAnsiTheme="minorHAnsi" w:cstheme="minorHAnsi"/>
                <w:b/>
                <w:bCs/>
                <w:color w:val="4472C4"/>
                <w:sz w:val="20"/>
                <w:szCs w:val="20"/>
              </w:rPr>
            </w:pPr>
            <w:r>
              <w:rPr>
                <w:rFonts w:asciiTheme="minorHAnsi" w:eastAsia="Times New Roman" w:hAnsiTheme="minorHAnsi" w:cstheme="minorHAnsi"/>
                <w:b/>
                <w:bCs/>
                <w:color w:val="4472C4"/>
                <w:sz w:val="20"/>
                <w:szCs w:val="20"/>
              </w:rPr>
              <w:t>***</w:t>
            </w:r>
          </w:p>
        </w:tc>
      </w:tr>
      <w:tr w:rsidR="002A2422" w14:paraId="499920E8" w14:textId="77777777">
        <w:trPr>
          <w:trHeight w:val="518"/>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bottom"/>
          </w:tcPr>
          <w:p w14:paraId="14D7997C"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Προώθηση έρευνας και ανάπτυξης εγχώριων των ορυκτών πρώτων υλών</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2E27F6ED"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4E38A382"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6DE5A204"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1D8573F5"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23BE4543"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573EB36"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5B136895"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12A00089"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1F414A88"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26D5172E"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7E6F608"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2798532"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1AF7A569"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2991633F"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 </w:t>
            </w:r>
          </w:p>
        </w:tc>
      </w:tr>
      <w:tr w:rsidR="002A2422" w14:paraId="595610C4" w14:textId="77777777">
        <w:trPr>
          <w:trHeight w:val="518"/>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bottom"/>
          </w:tcPr>
          <w:p w14:paraId="129046E4" w14:textId="77777777" w:rsidR="002A2422" w:rsidRDefault="003B3AD7">
            <w:pPr>
              <w:spacing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Βελτίωση της ποιότητας παρεχόμενων υπηρεσιών στους επισκέπτες</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3FC4DCD"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41419B6C"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0CF451EF"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13F7ED2F" w14:textId="77777777" w:rsidR="002A2422" w:rsidRDefault="002A2422">
            <w:pPr>
              <w:spacing w:line="240" w:lineRule="auto"/>
              <w:rPr>
                <w:rFonts w:asciiTheme="minorHAnsi" w:eastAsia="Times New Roman" w:hAnsiTheme="minorHAnsi" w:cstheme="minorHAnsi"/>
                <w:color w:val="4472C4"/>
                <w:sz w:val="20"/>
                <w:szCs w:val="20"/>
              </w:rPr>
            </w:pP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2952CFC2" w14:textId="77777777" w:rsidR="002A2422" w:rsidRDefault="002A2422">
            <w:pPr>
              <w:spacing w:line="240" w:lineRule="auto"/>
              <w:rPr>
                <w:rFonts w:asciiTheme="minorHAnsi" w:eastAsia="Times New Roman" w:hAnsiTheme="minorHAnsi" w:cstheme="minorHAnsi"/>
                <w:color w:val="4472C4"/>
                <w:sz w:val="20"/>
                <w:szCs w:val="20"/>
              </w:rPr>
            </w:pP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68F91B58" w14:textId="77777777" w:rsidR="002A2422" w:rsidRDefault="002A2422">
            <w:pPr>
              <w:spacing w:line="240" w:lineRule="auto"/>
              <w:rPr>
                <w:rFonts w:asciiTheme="minorHAnsi" w:eastAsia="Times New Roman" w:hAnsiTheme="minorHAnsi" w:cstheme="minorHAnsi"/>
                <w:color w:val="4472C4"/>
                <w:sz w:val="20"/>
                <w:szCs w:val="20"/>
              </w:rPr>
            </w:pP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379ADEF4"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4B680444" w14:textId="77777777" w:rsidR="002A2422" w:rsidRDefault="002A2422">
            <w:pPr>
              <w:spacing w:line="240" w:lineRule="auto"/>
              <w:rPr>
                <w:rFonts w:asciiTheme="minorHAnsi" w:eastAsia="Times New Roman" w:hAnsiTheme="minorHAnsi" w:cstheme="minorHAnsi"/>
                <w:color w:val="4472C4"/>
                <w:sz w:val="20"/>
                <w:szCs w:val="20"/>
              </w:rPr>
            </w:pP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7078856F" w14:textId="77777777" w:rsidR="002A2422" w:rsidRDefault="002A2422">
            <w:pPr>
              <w:spacing w:line="240" w:lineRule="auto"/>
              <w:rPr>
                <w:rFonts w:asciiTheme="minorHAnsi" w:eastAsia="Times New Roman" w:hAnsiTheme="minorHAnsi" w:cstheme="minorHAnsi"/>
                <w:color w:val="4472C4"/>
                <w:sz w:val="20"/>
                <w:szCs w:val="20"/>
              </w:rPr>
            </w:pP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AA3E045" w14:textId="77777777" w:rsidR="002A2422" w:rsidRDefault="002A2422">
            <w:pPr>
              <w:spacing w:line="240" w:lineRule="auto"/>
              <w:rPr>
                <w:rFonts w:asciiTheme="minorHAnsi" w:eastAsia="Times New Roman" w:hAnsiTheme="minorHAnsi" w:cstheme="minorHAnsi"/>
                <w:color w:val="4472C4"/>
                <w:sz w:val="20"/>
                <w:szCs w:val="20"/>
              </w:rPr>
            </w:pP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5BDF951A" w14:textId="77777777" w:rsidR="002A2422" w:rsidRDefault="002A2422">
            <w:pPr>
              <w:spacing w:line="240" w:lineRule="auto"/>
              <w:rPr>
                <w:rFonts w:asciiTheme="minorHAnsi" w:eastAsia="Times New Roman" w:hAnsiTheme="minorHAnsi" w:cstheme="minorHAnsi"/>
                <w:color w:val="4472C4"/>
                <w:sz w:val="20"/>
                <w:szCs w:val="20"/>
              </w:rPr>
            </w:pP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2B67DEB6" w14:textId="77777777" w:rsidR="002A2422" w:rsidRDefault="002A2422">
            <w:pPr>
              <w:spacing w:line="240" w:lineRule="auto"/>
              <w:rPr>
                <w:rFonts w:asciiTheme="minorHAnsi" w:eastAsia="Times New Roman" w:hAnsiTheme="minorHAnsi" w:cstheme="minorHAnsi"/>
                <w:color w:val="4472C4"/>
                <w:sz w:val="20"/>
                <w:szCs w:val="20"/>
              </w:rPr>
            </w:pP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4AD7C4E8"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52A9DB7C" w14:textId="77777777" w:rsidR="002A2422" w:rsidRDefault="003B3AD7">
            <w:pPr>
              <w:spacing w:line="240" w:lineRule="auto"/>
              <w:rPr>
                <w:rFonts w:asciiTheme="minorHAnsi" w:eastAsia="Times New Roman" w:hAnsiTheme="minorHAnsi" w:cstheme="minorHAnsi"/>
                <w:color w:val="4472C4"/>
                <w:sz w:val="20"/>
                <w:szCs w:val="20"/>
              </w:rPr>
            </w:pPr>
            <w:r>
              <w:rPr>
                <w:rFonts w:asciiTheme="minorHAnsi" w:eastAsia="Times New Roman" w:hAnsiTheme="minorHAnsi" w:cstheme="minorHAnsi"/>
                <w:color w:val="4472C4"/>
                <w:sz w:val="20"/>
                <w:szCs w:val="20"/>
              </w:rPr>
              <w:t>***</w:t>
            </w:r>
          </w:p>
        </w:tc>
      </w:tr>
      <w:tr w:rsidR="002A2422" w14:paraId="10C145F3" w14:textId="77777777">
        <w:trPr>
          <w:trHeight w:val="259"/>
          <w:jc w:val="center"/>
        </w:trPr>
        <w:tc>
          <w:tcPr>
            <w:tcW w:w="3266" w:type="dxa"/>
            <w:tcBorders>
              <w:top w:val="nil"/>
              <w:left w:val="nil"/>
              <w:bottom w:val="nil"/>
              <w:right w:val="nil"/>
            </w:tcBorders>
            <w:shd w:val="clear" w:color="auto" w:fill="auto"/>
            <w:vAlign w:val="bottom"/>
          </w:tcPr>
          <w:p w14:paraId="55CE1E8C" w14:textId="77777777" w:rsidR="002A2422" w:rsidRDefault="002A2422">
            <w:pPr>
              <w:spacing w:line="240" w:lineRule="auto"/>
              <w:rPr>
                <w:rFonts w:asciiTheme="minorHAnsi" w:eastAsia="Times New Roman" w:hAnsiTheme="minorHAnsi" w:cstheme="minorHAnsi"/>
                <w:color w:val="4472C4"/>
                <w:sz w:val="20"/>
                <w:szCs w:val="20"/>
              </w:rPr>
            </w:pPr>
          </w:p>
        </w:tc>
        <w:tc>
          <w:tcPr>
            <w:tcW w:w="575" w:type="dxa"/>
            <w:tcBorders>
              <w:top w:val="nil"/>
              <w:left w:val="nil"/>
              <w:bottom w:val="nil"/>
              <w:right w:val="nil"/>
            </w:tcBorders>
            <w:shd w:val="clear" w:color="auto" w:fill="auto"/>
            <w:noWrap/>
            <w:vAlign w:val="bottom"/>
          </w:tcPr>
          <w:p w14:paraId="5F76B78D" w14:textId="77777777" w:rsidR="002A2422" w:rsidRDefault="002A2422">
            <w:pPr>
              <w:spacing w:line="240" w:lineRule="auto"/>
              <w:rPr>
                <w:rFonts w:asciiTheme="minorHAnsi" w:eastAsia="Times New Roman" w:hAnsiTheme="minorHAnsi" w:cstheme="minorHAnsi"/>
                <w:sz w:val="20"/>
                <w:szCs w:val="20"/>
              </w:rPr>
            </w:pPr>
          </w:p>
        </w:tc>
        <w:tc>
          <w:tcPr>
            <w:tcW w:w="655" w:type="dxa"/>
            <w:tcBorders>
              <w:top w:val="nil"/>
              <w:left w:val="nil"/>
              <w:bottom w:val="nil"/>
              <w:right w:val="nil"/>
            </w:tcBorders>
            <w:shd w:val="clear" w:color="auto" w:fill="auto"/>
            <w:noWrap/>
            <w:vAlign w:val="bottom"/>
          </w:tcPr>
          <w:p w14:paraId="686C7C21" w14:textId="77777777" w:rsidR="002A2422" w:rsidRDefault="002A2422">
            <w:pPr>
              <w:spacing w:line="240" w:lineRule="auto"/>
              <w:rPr>
                <w:rFonts w:asciiTheme="minorHAnsi" w:eastAsia="Times New Roman" w:hAnsiTheme="minorHAnsi" w:cstheme="minorHAnsi"/>
                <w:sz w:val="20"/>
                <w:szCs w:val="20"/>
              </w:rPr>
            </w:pPr>
          </w:p>
        </w:tc>
        <w:tc>
          <w:tcPr>
            <w:tcW w:w="655" w:type="dxa"/>
            <w:tcBorders>
              <w:top w:val="nil"/>
              <w:left w:val="nil"/>
              <w:bottom w:val="nil"/>
              <w:right w:val="nil"/>
            </w:tcBorders>
            <w:shd w:val="clear" w:color="auto" w:fill="auto"/>
            <w:noWrap/>
            <w:vAlign w:val="bottom"/>
          </w:tcPr>
          <w:p w14:paraId="24E2EB03" w14:textId="77777777" w:rsidR="002A2422" w:rsidRDefault="002A2422">
            <w:pPr>
              <w:spacing w:line="240" w:lineRule="auto"/>
              <w:rPr>
                <w:rFonts w:asciiTheme="minorHAnsi" w:eastAsia="Times New Roman" w:hAnsiTheme="minorHAnsi" w:cstheme="minorHAnsi"/>
                <w:sz w:val="20"/>
                <w:szCs w:val="20"/>
              </w:rPr>
            </w:pPr>
          </w:p>
        </w:tc>
        <w:tc>
          <w:tcPr>
            <w:tcW w:w="575" w:type="dxa"/>
            <w:tcBorders>
              <w:top w:val="nil"/>
              <w:left w:val="nil"/>
              <w:bottom w:val="nil"/>
              <w:right w:val="nil"/>
            </w:tcBorders>
            <w:shd w:val="clear" w:color="auto" w:fill="auto"/>
            <w:noWrap/>
            <w:vAlign w:val="bottom"/>
          </w:tcPr>
          <w:p w14:paraId="305E9095" w14:textId="77777777" w:rsidR="002A2422" w:rsidRDefault="002A2422">
            <w:pPr>
              <w:spacing w:line="240" w:lineRule="auto"/>
              <w:rPr>
                <w:rFonts w:asciiTheme="minorHAnsi" w:eastAsia="Times New Roman" w:hAnsiTheme="minorHAnsi" w:cstheme="minorHAnsi"/>
                <w:sz w:val="20"/>
                <w:szCs w:val="20"/>
              </w:rPr>
            </w:pPr>
          </w:p>
        </w:tc>
        <w:tc>
          <w:tcPr>
            <w:tcW w:w="563" w:type="dxa"/>
            <w:tcBorders>
              <w:top w:val="nil"/>
              <w:left w:val="nil"/>
              <w:bottom w:val="nil"/>
              <w:right w:val="nil"/>
            </w:tcBorders>
            <w:shd w:val="clear" w:color="auto" w:fill="auto"/>
            <w:noWrap/>
            <w:vAlign w:val="bottom"/>
          </w:tcPr>
          <w:p w14:paraId="36DD6A56" w14:textId="77777777" w:rsidR="002A2422" w:rsidRDefault="002A2422">
            <w:pPr>
              <w:spacing w:line="240" w:lineRule="auto"/>
              <w:rPr>
                <w:rFonts w:asciiTheme="minorHAnsi" w:eastAsia="Times New Roman" w:hAnsiTheme="minorHAnsi" w:cstheme="minorHAnsi"/>
                <w:sz w:val="20"/>
                <w:szCs w:val="20"/>
              </w:rPr>
            </w:pPr>
          </w:p>
        </w:tc>
        <w:tc>
          <w:tcPr>
            <w:tcW w:w="523" w:type="dxa"/>
            <w:tcBorders>
              <w:top w:val="nil"/>
              <w:left w:val="nil"/>
              <w:bottom w:val="nil"/>
              <w:right w:val="nil"/>
            </w:tcBorders>
            <w:shd w:val="clear" w:color="auto" w:fill="auto"/>
            <w:noWrap/>
            <w:vAlign w:val="bottom"/>
          </w:tcPr>
          <w:p w14:paraId="674546A6" w14:textId="77777777" w:rsidR="002A2422" w:rsidRDefault="002A2422">
            <w:pPr>
              <w:spacing w:line="240" w:lineRule="auto"/>
              <w:rPr>
                <w:rFonts w:asciiTheme="minorHAnsi" w:eastAsia="Times New Roman" w:hAnsiTheme="minorHAnsi" w:cstheme="minorHAnsi"/>
                <w:sz w:val="20"/>
                <w:szCs w:val="20"/>
              </w:rPr>
            </w:pPr>
          </w:p>
        </w:tc>
        <w:tc>
          <w:tcPr>
            <w:tcW w:w="697" w:type="dxa"/>
            <w:tcBorders>
              <w:top w:val="nil"/>
              <w:left w:val="nil"/>
              <w:bottom w:val="nil"/>
              <w:right w:val="nil"/>
            </w:tcBorders>
            <w:shd w:val="clear" w:color="auto" w:fill="auto"/>
            <w:noWrap/>
            <w:vAlign w:val="bottom"/>
          </w:tcPr>
          <w:p w14:paraId="67B42D3D" w14:textId="77777777" w:rsidR="002A2422" w:rsidRDefault="002A2422">
            <w:pPr>
              <w:spacing w:line="240" w:lineRule="auto"/>
              <w:rPr>
                <w:rFonts w:asciiTheme="minorHAnsi" w:eastAsia="Times New Roman" w:hAnsiTheme="minorHAnsi" w:cstheme="minorHAnsi"/>
                <w:sz w:val="20"/>
                <w:szCs w:val="20"/>
              </w:rPr>
            </w:pPr>
          </w:p>
        </w:tc>
        <w:tc>
          <w:tcPr>
            <w:tcW w:w="523" w:type="dxa"/>
            <w:tcBorders>
              <w:top w:val="nil"/>
              <w:left w:val="nil"/>
              <w:bottom w:val="nil"/>
              <w:right w:val="nil"/>
            </w:tcBorders>
            <w:shd w:val="clear" w:color="auto" w:fill="auto"/>
            <w:noWrap/>
            <w:vAlign w:val="bottom"/>
          </w:tcPr>
          <w:p w14:paraId="06385C53" w14:textId="77777777" w:rsidR="002A2422" w:rsidRDefault="002A2422">
            <w:pPr>
              <w:spacing w:line="240" w:lineRule="auto"/>
              <w:rPr>
                <w:rFonts w:asciiTheme="minorHAnsi" w:eastAsia="Times New Roman" w:hAnsiTheme="minorHAnsi" w:cstheme="minorHAnsi"/>
                <w:sz w:val="20"/>
                <w:szCs w:val="20"/>
              </w:rPr>
            </w:pPr>
          </w:p>
        </w:tc>
        <w:tc>
          <w:tcPr>
            <w:tcW w:w="523" w:type="dxa"/>
            <w:tcBorders>
              <w:top w:val="nil"/>
              <w:left w:val="nil"/>
              <w:bottom w:val="nil"/>
              <w:right w:val="nil"/>
            </w:tcBorders>
            <w:shd w:val="clear" w:color="auto" w:fill="auto"/>
            <w:noWrap/>
            <w:vAlign w:val="bottom"/>
          </w:tcPr>
          <w:p w14:paraId="3B3A837E" w14:textId="77777777" w:rsidR="002A2422" w:rsidRDefault="002A2422">
            <w:pPr>
              <w:spacing w:line="240" w:lineRule="auto"/>
              <w:rPr>
                <w:rFonts w:asciiTheme="minorHAnsi" w:eastAsia="Times New Roman" w:hAnsiTheme="minorHAnsi" w:cstheme="minorHAnsi"/>
                <w:sz w:val="20"/>
                <w:szCs w:val="20"/>
              </w:rPr>
            </w:pPr>
          </w:p>
        </w:tc>
        <w:tc>
          <w:tcPr>
            <w:tcW w:w="523" w:type="dxa"/>
            <w:tcBorders>
              <w:top w:val="nil"/>
              <w:left w:val="nil"/>
              <w:bottom w:val="nil"/>
              <w:right w:val="nil"/>
            </w:tcBorders>
            <w:shd w:val="clear" w:color="auto" w:fill="auto"/>
            <w:noWrap/>
            <w:vAlign w:val="bottom"/>
          </w:tcPr>
          <w:p w14:paraId="4ED33A1C" w14:textId="77777777" w:rsidR="002A2422" w:rsidRDefault="002A2422">
            <w:pPr>
              <w:spacing w:line="240" w:lineRule="auto"/>
              <w:rPr>
                <w:rFonts w:asciiTheme="minorHAnsi" w:eastAsia="Times New Roman" w:hAnsiTheme="minorHAnsi" w:cstheme="minorHAnsi"/>
                <w:sz w:val="20"/>
                <w:szCs w:val="20"/>
              </w:rPr>
            </w:pPr>
          </w:p>
        </w:tc>
        <w:tc>
          <w:tcPr>
            <w:tcW w:w="523" w:type="dxa"/>
            <w:tcBorders>
              <w:top w:val="nil"/>
              <w:left w:val="nil"/>
              <w:bottom w:val="nil"/>
              <w:right w:val="nil"/>
            </w:tcBorders>
            <w:shd w:val="clear" w:color="auto" w:fill="auto"/>
            <w:noWrap/>
            <w:vAlign w:val="bottom"/>
          </w:tcPr>
          <w:p w14:paraId="18692D00" w14:textId="77777777" w:rsidR="002A2422" w:rsidRDefault="002A2422">
            <w:pPr>
              <w:spacing w:line="240" w:lineRule="auto"/>
              <w:rPr>
                <w:rFonts w:asciiTheme="minorHAnsi" w:eastAsia="Times New Roman" w:hAnsiTheme="minorHAnsi" w:cstheme="minorHAnsi"/>
                <w:sz w:val="20"/>
                <w:szCs w:val="20"/>
              </w:rPr>
            </w:pPr>
          </w:p>
        </w:tc>
        <w:tc>
          <w:tcPr>
            <w:tcW w:w="523" w:type="dxa"/>
            <w:tcBorders>
              <w:top w:val="nil"/>
              <w:left w:val="nil"/>
              <w:bottom w:val="nil"/>
              <w:right w:val="nil"/>
            </w:tcBorders>
            <w:shd w:val="clear" w:color="auto" w:fill="auto"/>
            <w:noWrap/>
            <w:vAlign w:val="bottom"/>
          </w:tcPr>
          <w:p w14:paraId="15F010E6" w14:textId="77777777" w:rsidR="002A2422" w:rsidRDefault="002A2422">
            <w:pPr>
              <w:spacing w:line="240" w:lineRule="auto"/>
              <w:rPr>
                <w:rFonts w:asciiTheme="minorHAnsi" w:eastAsia="Times New Roman" w:hAnsiTheme="minorHAnsi" w:cstheme="minorHAnsi"/>
                <w:sz w:val="20"/>
                <w:szCs w:val="20"/>
              </w:rPr>
            </w:pPr>
          </w:p>
        </w:tc>
        <w:tc>
          <w:tcPr>
            <w:tcW w:w="655" w:type="dxa"/>
            <w:tcBorders>
              <w:top w:val="nil"/>
              <w:left w:val="nil"/>
              <w:bottom w:val="nil"/>
              <w:right w:val="nil"/>
            </w:tcBorders>
            <w:shd w:val="clear" w:color="auto" w:fill="auto"/>
            <w:noWrap/>
            <w:vAlign w:val="bottom"/>
          </w:tcPr>
          <w:p w14:paraId="35C50E5D" w14:textId="77777777" w:rsidR="002A2422" w:rsidRDefault="002A2422">
            <w:pPr>
              <w:spacing w:line="240" w:lineRule="auto"/>
              <w:rPr>
                <w:rFonts w:asciiTheme="minorHAnsi" w:eastAsia="Times New Roman" w:hAnsiTheme="minorHAnsi" w:cstheme="minorHAnsi"/>
                <w:sz w:val="20"/>
                <w:szCs w:val="20"/>
              </w:rPr>
            </w:pPr>
          </w:p>
        </w:tc>
        <w:tc>
          <w:tcPr>
            <w:tcW w:w="865" w:type="dxa"/>
            <w:tcBorders>
              <w:top w:val="nil"/>
              <w:left w:val="nil"/>
              <w:bottom w:val="nil"/>
              <w:right w:val="nil"/>
            </w:tcBorders>
            <w:shd w:val="clear" w:color="auto" w:fill="auto"/>
            <w:noWrap/>
            <w:vAlign w:val="bottom"/>
          </w:tcPr>
          <w:p w14:paraId="63C4D236" w14:textId="77777777" w:rsidR="002A2422" w:rsidRDefault="002A2422">
            <w:pPr>
              <w:spacing w:line="240" w:lineRule="auto"/>
              <w:rPr>
                <w:rFonts w:asciiTheme="minorHAnsi" w:eastAsia="Times New Roman" w:hAnsiTheme="minorHAnsi" w:cstheme="minorHAnsi"/>
                <w:sz w:val="20"/>
                <w:szCs w:val="20"/>
              </w:rPr>
            </w:pPr>
          </w:p>
        </w:tc>
      </w:tr>
      <w:tr w:rsidR="002A2422" w14:paraId="1A3E856F" w14:textId="77777777">
        <w:trPr>
          <w:trHeight w:val="259"/>
          <w:jc w:val="center"/>
        </w:trPr>
        <w:tc>
          <w:tcPr>
            <w:tcW w:w="11644" w:type="dxa"/>
            <w:gridSpan w:val="15"/>
            <w:tcBorders>
              <w:top w:val="nil"/>
              <w:left w:val="nil"/>
              <w:bottom w:val="nil"/>
            </w:tcBorders>
            <w:shd w:val="clear" w:color="auto" w:fill="auto"/>
            <w:vAlign w:val="bottom"/>
          </w:tcPr>
          <w:p w14:paraId="61A53712" w14:textId="77777777" w:rsidR="002A2422" w:rsidRDefault="003B3AD7">
            <w:pPr>
              <w:spacing w:line="240" w:lineRule="auto"/>
              <w:rPr>
                <w:rFonts w:asciiTheme="minorHAnsi" w:eastAsia="Times New Roman" w:hAnsiTheme="minorHAnsi" w:cstheme="minorHAnsi"/>
                <w:sz w:val="20"/>
                <w:szCs w:val="20"/>
              </w:rPr>
            </w:pPr>
            <w:r>
              <w:rPr>
                <w:rFonts w:asciiTheme="minorHAnsi" w:eastAsia="Times New Roman" w:hAnsiTheme="minorHAnsi" w:cstheme="minorHAnsi"/>
                <w:color w:val="000000"/>
                <w:sz w:val="20"/>
                <w:szCs w:val="20"/>
              </w:rPr>
              <w:t xml:space="preserve">Σημείωση: </w:t>
            </w:r>
            <w:r>
              <w:rPr>
                <w:rFonts w:asciiTheme="minorHAnsi" w:eastAsia="Times New Roman" w:hAnsiTheme="minorHAnsi" w:cstheme="minorHAnsi"/>
                <w:color w:val="4472C4"/>
                <w:sz w:val="20"/>
                <w:szCs w:val="20"/>
              </w:rPr>
              <w:t>***</w:t>
            </w:r>
            <w:r>
              <w:rPr>
                <w:rFonts w:asciiTheme="minorHAnsi" w:eastAsia="Times New Roman" w:hAnsiTheme="minorHAnsi" w:cstheme="minorHAnsi"/>
                <w:color w:val="000000"/>
                <w:sz w:val="20"/>
                <w:szCs w:val="20"/>
              </w:rPr>
              <w:t xml:space="preserve"> - πολύ ισχυρή συσχέτιση, </w:t>
            </w:r>
            <w:r>
              <w:rPr>
                <w:rFonts w:asciiTheme="minorHAnsi" w:eastAsia="Times New Roman" w:hAnsiTheme="minorHAnsi" w:cstheme="minorHAnsi"/>
                <w:color w:val="4472C4"/>
                <w:sz w:val="20"/>
                <w:szCs w:val="20"/>
              </w:rPr>
              <w:t>**</w:t>
            </w:r>
            <w:r>
              <w:rPr>
                <w:rFonts w:asciiTheme="minorHAnsi" w:eastAsia="Times New Roman" w:hAnsiTheme="minorHAnsi" w:cstheme="minorHAnsi"/>
                <w:color w:val="000000"/>
                <w:sz w:val="20"/>
                <w:szCs w:val="20"/>
              </w:rPr>
              <w:t xml:space="preserve"> - ισχυρή συσχέτιση, </w:t>
            </w:r>
            <w:r>
              <w:rPr>
                <w:rFonts w:asciiTheme="minorHAnsi" w:eastAsia="Times New Roman" w:hAnsiTheme="minorHAnsi" w:cstheme="minorHAnsi"/>
                <w:color w:val="4472C4"/>
                <w:sz w:val="20"/>
                <w:szCs w:val="20"/>
              </w:rPr>
              <w:t>*</w:t>
            </w:r>
            <w:r>
              <w:rPr>
                <w:rFonts w:asciiTheme="minorHAnsi" w:eastAsia="Times New Roman" w:hAnsiTheme="minorHAnsi" w:cstheme="minorHAnsi"/>
                <w:color w:val="000000"/>
                <w:sz w:val="20"/>
                <w:szCs w:val="20"/>
              </w:rPr>
              <w:t xml:space="preserve"> - συσχέτιση</w:t>
            </w:r>
          </w:p>
        </w:tc>
      </w:tr>
    </w:tbl>
    <w:p w14:paraId="6B91A945" w14:textId="77777777" w:rsidR="002A2422" w:rsidRDefault="002A2422">
      <w:pPr>
        <w:spacing w:after="160" w:line="259" w:lineRule="auto"/>
        <w:rPr>
          <w:rFonts w:asciiTheme="minorHAnsi" w:eastAsia="Calibri" w:hAnsiTheme="minorHAnsi" w:cstheme="minorHAnsi"/>
          <w:sz w:val="24"/>
          <w:szCs w:val="24"/>
          <w:lang w:eastAsia="en-US"/>
        </w:rPr>
      </w:pPr>
    </w:p>
    <w:p w14:paraId="4E17B3E0" w14:textId="77777777" w:rsidR="002A2422" w:rsidRDefault="003B3AD7">
      <w:pPr>
        <w:spacing w:before="60" w:after="60" w:line="336" w:lineRule="auto"/>
        <w:rPr>
          <w:rFonts w:asciiTheme="minorHAnsi" w:eastAsia="Calibri" w:hAnsiTheme="minorHAnsi" w:cstheme="minorHAnsi"/>
          <w:b/>
          <w:bCs/>
          <w:sz w:val="24"/>
          <w:szCs w:val="24"/>
          <w:lang w:eastAsia="en-US"/>
        </w:rPr>
      </w:pPr>
      <w:r>
        <w:rPr>
          <w:rFonts w:asciiTheme="minorHAnsi" w:eastAsia="Calibri" w:hAnsiTheme="minorHAnsi" w:cstheme="minorHAnsi"/>
          <w:b/>
          <w:bCs/>
          <w:sz w:val="24"/>
          <w:szCs w:val="24"/>
          <w:lang w:eastAsia="en-US"/>
        </w:rPr>
        <w:t>Α) Πολιτιστική κληρονομιά:</w:t>
      </w:r>
    </w:p>
    <w:p w14:paraId="7E5C834B" w14:textId="77777777" w:rsidR="002A2422" w:rsidRDefault="003B3AD7">
      <w:pPr>
        <w:spacing w:before="60" w:after="60" w:line="336" w:lineRule="auto"/>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Η ιδιαίτερα πλούσια πολιτιστική κληρονομιά της χώρας αποτελεί ένα ακόμα πολύ σημαντικό πλεονέκτημά της, το οποίο δημιουργεί δυνατότητες για περαιτέρω ανάπτυξη. Ο ρόλος του ελληνικού πολιτισμού για την ανάπτυξη της δυτικής σκέψης και κουλτούρας αναγνωρίζεται διεθνώς, ωστόσο υπάρχουν ακόμα σημαντικά περιθώρια περαιτέρω αξιοποίησης του πολιτιστικού πλούτου που διαθέτει η χώρα. Υπάρχουν πολλά σημαντικά μνημεία ιδιαίτερου ενδιαφέροντος, που δεν έχουν αναδειχθεί πλήρως στους επισκέπτες της Αθήνας, ενώ οι υποδομές για την υποδοχή επισκεπτών είναι ελλιπείς σε πολλά μνημεία και ιστορικούς τόπους, σε περιοχές της νησιωτικής και ηπειρωτικής χώρας. Επιπλέον, υπάρχουν σημαντικά περιθώρια περαιτέρω ανάδειξης του πολιτιστικού αποθέματος της χώρας με τη χρήση ΤΠΕ, όπως </w:t>
      </w:r>
      <w:proofErr w:type="spellStart"/>
      <w:r>
        <w:rPr>
          <w:rFonts w:asciiTheme="minorHAnsi" w:eastAsia="Calibri" w:hAnsiTheme="minorHAnsi" w:cstheme="minorHAnsi"/>
          <w:sz w:val="24"/>
          <w:szCs w:val="24"/>
          <w:lang w:eastAsia="en-US"/>
        </w:rPr>
        <w:t>ψηφιοποίηση</w:t>
      </w:r>
      <w:proofErr w:type="spellEnd"/>
      <w:r>
        <w:rPr>
          <w:rFonts w:asciiTheme="minorHAnsi" w:eastAsia="Calibri" w:hAnsiTheme="minorHAnsi" w:cstheme="minorHAnsi"/>
          <w:sz w:val="24"/>
          <w:szCs w:val="24"/>
          <w:lang w:eastAsia="en-US"/>
        </w:rPr>
        <w:t xml:space="preserve"> πολιτιστικού αποθέματος, δημιουργία πολιτισμικού ψηφιακού περιεχομένου, δημιουργία υποδομών εύκολης πρόσβασης στο ηλεκτρονικό πολιτισμικό περιεχόμενο, δημιουργία συστημάτων διανομής του πολιτισμικού αποθέματος, δημιουργία πολιτισμικών διαδικτυακών κόμβων, «ψηφιακή» καλλιτεχνική δημιουργία, «ψηφιακή» τέχνη, εικονικές περιηγήσεις σε μουσεία, εικονικά μουσεία και αίθουσες τέχνης και χρήση τεχνολογιών επαυξημένης και εικονικής πραγματικότητας.</w:t>
      </w:r>
    </w:p>
    <w:p w14:paraId="3E25DC2B" w14:textId="77777777" w:rsidR="002A2422" w:rsidRDefault="003B3AD7">
      <w:pPr>
        <w:spacing w:before="60" w:after="60" w:line="336" w:lineRule="auto"/>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Δυνατότητες ενίσχυσης της θέσης της χώρας υπάρχουν και στη διεθνή αγορά εκπαιδευτικών υπηρεσιών, ειδικά σε πεδία που σχετίζονται στενά με την πολιτιστική της κληρονομιά, όπως </w:t>
      </w:r>
      <w:r>
        <w:rPr>
          <w:rFonts w:asciiTheme="minorHAnsi" w:eastAsia="Calibri" w:hAnsiTheme="minorHAnsi" w:cstheme="minorHAnsi"/>
          <w:sz w:val="24"/>
          <w:szCs w:val="24"/>
          <w:lang w:eastAsia="en-US"/>
        </w:rPr>
        <w:lastRenderedPageBreak/>
        <w:t>κλασσικές σπουδές, αρχαιολογία, θεατρολογία, τέχνες και φιλοσοφία. Έχει καταγραφεί ενδιαφέρον για συνεργασία με τα εγχώρια πανεπιστήμια από διεθνή εκπαιδευτικά ιδρύματα αναγνωρισμένου κύρους, ωστόσο απαιτούνται περαιτέρω παρεμβάσεις για τη διεθνοποίηση των εγχώριων ιδρυμάτων.</w:t>
      </w:r>
    </w:p>
    <w:p w14:paraId="4D7C2447" w14:textId="77777777" w:rsidR="002A2422" w:rsidRDefault="003B3AD7">
      <w:pPr>
        <w:spacing w:before="60" w:after="60" w:line="336" w:lineRule="auto"/>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Τέλος, η πολιτιστική κληρονομιά, σε συνδυασμό με το φυσικό κάλλος και τη γαστρονομική παράδοση, συνθέτουν μια εν δυνάμει πολύ ελκυστική εικόνα για τη χώρα. Απαιτείται όμως συστηματική προσπάθεια για την προβολή της πολιτιστικής ταυτότητας της χώρας μέσω και της δημιουργίας ενός δυνατού εθνικού εμπορικού σήματος (</w:t>
      </w:r>
      <w:proofErr w:type="spellStart"/>
      <w:r>
        <w:rPr>
          <w:rFonts w:asciiTheme="minorHAnsi" w:eastAsia="Calibri" w:hAnsiTheme="minorHAnsi" w:cstheme="minorHAnsi"/>
          <w:sz w:val="24"/>
          <w:szCs w:val="24"/>
          <w:lang w:eastAsia="en-US"/>
        </w:rPr>
        <w:t>nation</w:t>
      </w:r>
      <w:proofErr w:type="spellEnd"/>
      <w:r>
        <w:rPr>
          <w:rFonts w:asciiTheme="minorHAnsi" w:eastAsia="Calibri" w:hAnsiTheme="minorHAnsi" w:cstheme="minorHAnsi"/>
          <w:sz w:val="24"/>
          <w:szCs w:val="24"/>
          <w:lang w:eastAsia="en-US"/>
        </w:rPr>
        <w:t xml:space="preserve"> </w:t>
      </w:r>
      <w:proofErr w:type="spellStart"/>
      <w:r>
        <w:rPr>
          <w:rFonts w:asciiTheme="minorHAnsi" w:eastAsia="Calibri" w:hAnsiTheme="minorHAnsi" w:cstheme="minorHAnsi"/>
          <w:sz w:val="24"/>
          <w:szCs w:val="24"/>
          <w:lang w:eastAsia="en-US"/>
        </w:rPr>
        <w:t>branding</w:t>
      </w:r>
      <w:proofErr w:type="spellEnd"/>
      <w:r>
        <w:rPr>
          <w:rFonts w:asciiTheme="minorHAnsi" w:eastAsia="Calibri" w:hAnsiTheme="minorHAnsi" w:cstheme="minorHAnsi"/>
          <w:sz w:val="24"/>
          <w:szCs w:val="24"/>
          <w:lang w:eastAsia="en-US"/>
        </w:rPr>
        <w:t xml:space="preserve">), στα πρότυπα άλλων χωρών, όπως η Ιταλία, η Γερμανία, οι ΗΠΑ και το Ηνωμένο Βασίλειο. Η καθιέρωση ενός ισχυρού εθνικού </w:t>
      </w:r>
      <w:proofErr w:type="spellStart"/>
      <w:r>
        <w:rPr>
          <w:rFonts w:asciiTheme="minorHAnsi" w:eastAsia="Calibri" w:hAnsiTheme="minorHAnsi" w:cstheme="minorHAnsi"/>
          <w:sz w:val="24"/>
          <w:szCs w:val="24"/>
          <w:lang w:eastAsia="en-US"/>
        </w:rPr>
        <w:t>brand</w:t>
      </w:r>
      <w:proofErr w:type="spellEnd"/>
      <w:r>
        <w:rPr>
          <w:rFonts w:asciiTheme="minorHAnsi" w:eastAsia="Calibri" w:hAnsiTheme="minorHAnsi" w:cstheme="minorHAnsi"/>
          <w:sz w:val="24"/>
          <w:szCs w:val="24"/>
          <w:lang w:eastAsia="en-US"/>
        </w:rPr>
        <w:t xml:space="preserve"> ενέχει αναπτυξιακές δυνατότητες, ειδικά όσον αφορά ποιοτικά ελληνικά προϊόντα που παράγονται στη χώρα με σεβασμό στις παραδόσεις και το περιβάλλον της και εκπροσωπούν έναν «ελληνικό τρόπο ζωής».</w:t>
      </w:r>
    </w:p>
    <w:p w14:paraId="2E889CA6"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Βασικός σκοπός των συγκεκριμένων προτεραιοτήτων είναι η κάλυψη της ανάγκης για αλλαγή του παραγωγικού υποδείγματος, καθώς και η πληρέστερη δυνατή αξιοποίηση των συγκριτικών πλεονεκτημάτων της χώρας όσον αφορά το ευνοϊκό κλίμα, το φυσικό περιβάλλον και την πολιτιστική κληρονομιά που διαθέτει. Ωστόσο, αρκετές από τις προτεραιότητες, ειδικά στον τομέα του πολιτισμού, έχουν και άμεση επίδραση στην κοινωνική ευημερία των πολιτών και επομένως εξυπηρετούν ταυτόχρονα και κοινωνικές αναπτυξιακές ανάγκες.</w:t>
      </w:r>
    </w:p>
    <w:p w14:paraId="49EE5283"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Εκτός από το ευνοϊκό κλίμα και το φυσικό κάλλος, η Ελλάδα προσελκύει πολλούς επισκέπτες από το εξωτερικό και λόγω του πλούσιου πολιτιστικού αποθέματος της χώρας. Η προστασία, ανάδειξη και προβολή της πολιτιστικής κληρονομιάς, ειδικά σε μέρη που έχουν τις υποδομές για να υποστηρίξουν αυξημένη ροή επισκεπτών, αποτελεί προτεραιότητα. Άλλες σχετικές προτεραιότητες, τόσο με οικονομικές όσο και με κοινωνικές προεκτάσεις, αφορούν την ευρύτερη προστασία και ανάδειξη μνημείων, αρχαιολογικών χώρων, τόπων ιστορικού ενδιαφέροντος τη δημιουργία και τον εκσυγχρονισμό μουσείων και πολιτιστικών κέντρων, καθώς και την προώθηση του σύγχρονου πολιτισμού και της γαστρονομικής παράδοσης. Σημαντική μπορεί να είναι η αναπτυξιακή ώθηση και από την ανάπτυξη των πολιτιστικών και δημιουργικών βιομηχανιών.</w:t>
      </w:r>
    </w:p>
    <w:p w14:paraId="56E04CFF" w14:textId="77777777" w:rsidR="002A2422" w:rsidRDefault="003B3AD7">
      <w:pPr>
        <w:spacing w:before="60" w:after="60"/>
        <w:rPr>
          <w:rFonts w:asciiTheme="minorHAnsi" w:eastAsia="Calibri" w:hAnsiTheme="minorHAnsi" w:cstheme="minorHAnsi"/>
          <w:b/>
          <w:bCs/>
          <w:sz w:val="24"/>
          <w:szCs w:val="24"/>
          <w:lang w:eastAsia="en-US"/>
        </w:rPr>
      </w:pPr>
      <w:r>
        <w:rPr>
          <w:rFonts w:asciiTheme="minorHAnsi" w:eastAsia="Calibri" w:hAnsiTheme="minorHAnsi" w:cstheme="minorHAnsi"/>
          <w:b/>
          <w:bCs/>
          <w:sz w:val="24"/>
          <w:szCs w:val="24"/>
          <w:lang w:eastAsia="en-US"/>
        </w:rPr>
        <w:lastRenderedPageBreak/>
        <w:t>Β)  Σύγχρονη Πολιτιστική Δημιουργία :</w:t>
      </w:r>
    </w:p>
    <w:p w14:paraId="75F6B191"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Με γνώμονα τις τρέχουσες τάσεις και εξελίξεις της σύγχρονης πολιτιστικής δημιουργίας σε παγκόσμιο επίπεδο θα πρέπει να δοθεί έμφαση στην προσέγγιση και στήριξη σύγχρονων δημιουργών, καλλιτεχνών και τοπικών κοινωνιών, στην ανασυγκρότηση και αξιοποίηση του Πολιτισμικού Κεφαλαίου της χώρας καθώς και στην κατάρτιση μιας στρατηγικής διαλόγου της πολιτιστικής κληρονομιάς με τον σύγχρονο πολιτισμό και τις τέχνες, αναγκαία προϋπόθεση της αειφόρου ανάπτυξης της ίδιας της σύγχρονης τέχνης, για την συγκρότηση ενός νέου πολιτισμικού μοντέλου αειφόρου ανάπτυξης και </w:t>
      </w:r>
      <w:proofErr w:type="spellStart"/>
      <w:r>
        <w:rPr>
          <w:rFonts w:asciiTheme="minorHAnsi" w:eastAsia="Calibri" w:hAnsiTheme="minorHAnsi" w:cstheme="minorHAnsi"/>
          <w:sz w:val="24"/>
          <w:szCs w:val="24"/>
          <w:lang w:eastAsia="en-US"/>
        </w:rPr>
        <w:t>κοινωνικο</w:t>
      </w:r>
      <w:proofErr w:type="spellEnd"/>
      <w:r>
        <w:rPr>
          <w:rFonts w:asciiTheme="minorHAnsi" w:eastAsia="Calibri" w:hAnsiTheme="minorHAnsi" w:cstheme="minorHAnsi"/>
          <w:sz w:val="24"/>
          <w:szCs w:val="24"/>
          <w:lang w:eastAsia="en-US"/>
        </w:rPr>
        <w:t>-πολιτισμικής συνοχής.</w:t>
      </w:r>
    </w:p>
    <w:p w14:paraId="14070D33"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Η πολιτισμική πολιτική για την ανασυγκρότηση της πολιτιστικής ταυτότητας και την ανάδειξη πόλεων και περιφερειών, έχει ως κεντρικούς άξονες την οργάνωση δικτύων πολιτισμού σε συνεργασία με φορείς της τοπικής κοινωνίας, την ενίσχυση του δημιουργικού και καλλιτεχνικού πεδίου, την καινοτομία και την εξωστρέφεια, τη συμπερίληψη όλων των κυττάρων και ομάδων του πληθυσμού χωρίς διακρίσεις και αποκλεισμούς. </w:t>
      </w:r>
    </w:p>
    <w:p w14:paraId="6D922B60"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Οι αναπτυξιακές κατευθύνσεις για τον σύγχρονο πολιτισμό έχουν ως στόχο τη διαμόρφωση ενός ολοκληρωμένου σχεδίου πολιτικής για τον Σύγχρονο Πολιτισμό σε εθνικό επίπεδο που θα αντιμετωπίζει αποτελεσματικά τις περιφερειακές ανισότητες, καθώς και την κατανομή των πόρων μεταξύ του αρχαίου και του σύγχρονου πολιτισμού.</w:t>
      </w:r>
    </w:p>
    <w:p w14:paraId="1B96F784" w14:textId="77777777" w:rsidR="002A2422" w:rsidRDefault="003B3AD7">
      <w:pPr>
        <w:spacing w:before="60" w:after="60"/>
        <w:rPr>
          <w:rFonts w:asciiTheme="minorHAnsi" w:eastAsia="Calibri" w:hAnsiTheme="minorHAnsi" w:cstheme="minorHAnsi"/>
          <w:b/>
          <w:bCs/>
          <w:sz w:val="24"/>
          <w:szCs w:val="24"/>
          <w:lang w:eastAsia="en-US"/>
        </w:rPr>
      </w:pPr>
      <w:r>
        <w:rPr>
          <w:rFonts w:asciiTheme="minorHAnsi" w:eastAsia="Calibri" w:hAnsiTheme="minorHAnsi" w:cstheme="minorHAnsi"/>
          <w:b/>
          <w:bCs/>
          <w:sz w:val="24"/>
          <w:szCs w:val="24"/>
          <w:lang w:eastAsia="en-US"/>
        </w:rPr>
        <w:t>Γ)  Αθλητισμός:</w:t>
      </w:r>
    </w:p>
    <w:p w14:paraId="09A23D53"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Η χώρα μας, ως γενέτειρα των Ολυμπιακών Αγώνων χαίρει του παγκόσμιου σεβασμού και συνδέεται αναπόσπαστα με την ιστορία του αθλητισμού. Από τον ελληνικό αθλητισμό προέρχονται παγκόσμιες και πανανθρώπινες αξίες, όπως το ευ </w:t>
      </w:r>
      <w:proofErr w:type="spellStart"/>
      <w:r>
        <w:rPr>
          <w:rFonts w:asciiTheme="minorHAnsi" w:eastAsia="Calibri" w:hAnsiTheme="minorHAnsi" w:cstheme="minorHAnsi"/>
          <w:sz w:val="24"/>
          <w:szCs w:val="24"/>
          <w:lang w:eastAsia="en-US"/>
        </w:rPr>
        <w:t>αγωνίζεσθαι</w:t>
      </w:r>
      <w:proofErr w:type="spellEnd"/>
      <w:r>
        <w:rPr>
          <w:rFonts w:asciiTheme="minorHAnsi" w:eastAsia="Calibri" w:hAnsiTheme="minorHAnsi" w:cstheme="minorHAnsi"/>
          <w:sz w:val="24"/>
          <w:szCs w:val="24"/>
          <w:lang w:eastAsia="en-US"/>
        </w:rPr>
        <w:t xml:space="preserve">, η </w:t>
      </w:r>
      <w:proofErr w:type="spellStart"/>
      <w:r>
        <w:rPr>
          <w:rFonts w:asciiTheme="minorHAnsi" w:eastAsia="Calibri" w:hAnsiTheme="minorHAnsi" w:cstheme="minorHAnsi"/>
          <w:sz w:val="24"/>
          <w:szCs w:val="24"/>
          <w:lang w:eastAsia="en-US"/>
        </w:rPr>
        <w:t>συμμετοχικότητα</w:t>
      </w:r>
      <w:proofErr w:type="spellEnd"/>
      <w:r>
        <w:rPr>
          <w:rFonts w:asciiTheme="minorHAnsi" w:eastAsia="Calibri" w:hAnsiTheme="minorHAnsi" w:cstheme="minorHAnsi"/>
          <w:sz w:val="24"/>
          <w:szCs w:val="24"/>
          <w:lang w:eastAsia="en-US"/>
        </w:rPr>
        <w:t xml:space="preserve">, η ευγενής άμιλλα, ο συναγωνισμός, αλλά και τα ιδανικά του ολυμπισμού. </w:t>
      </w:r>
    </w:p>
    <w:p w14:paraId="30175FBC"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Η αθλητική πολιτική στρέφεται αφενός μεν στη δημιουργία και αναβάθμιση αθλητικών υποδομών, με έμφαση στην καλλιέργεια όλων των αθλημάτων, στην ίση πρόσβαση των πολιτών από όλα τα μέρη της χώρας, στην προσβασιμότητα και την άθληση των </w:t>
      </w:r>
      <w:proofErr w:type="spellStart"/>
      <w:r>
        <w:rPr>
          <w:rFonts w:asciiTheme="minorHAnsi" w:eastAsia="Calibri" w:hAnsiTheme="minorHAnsi" w:cstheme="minorHAnsi"/>
          <w:sz w:val="24"/>
          <w:szCs w:val="24"/>
          <w:lang w:eastAsia="en-US"/>
        </w:rPr>
        <w:t>ΑμΕΑ</w:t>
      </w:r>
      <w:proofErr w:type="spellEnd"/>
      <w:r>
        <w:rPr>
          <w:rFonts w:asciiTheme="minorHAnsi" w:eastAsia="Calibri" w:hAnsiTheme="minorHAnsi" w:cstheme="minorHAnsi"/>
          <w:sz w:val="24"/>
          <w:szCs w:val="24"/>
          <w:lang w:eastAsia="en-US"/>
        </w:rPr>
        <w:t xml:space="preserve">, στον ψηφιακό μετασχηματισμό και τη ροπή των υποδομών προς την πράσινη ανάπτυξη και την </w:t>
      </w:r>
      <w:proofErr w:type="spellStart"/>
      <w:r>
        <w:rPr>
          <w:rFonts w:asciiTheme="minorHAnsi" w:eastAsia="Calibri" w:hAnsiTheme="minorHAnsi" w:cstheme="minorHAnsi"/>
          <w:sz w:val="24"/>
          <w:szCs w:val="24"/>
          <w:lang w:eastAsia="en-US"/>
        </w:rPr>
        <w:t>ψηφιοποίηση</w:t>
      </w:r>
      <w:proofErr w:type="spellEnd"/>
      <w:r>
        <w:rPr>
          <w:rFonts w:asciiTheme="minorHAnsi" w:eastAsia="Calibri" w:hAnsiTheme="minorHAnsi" w:cstheme="minorHAnsi"/>
          <w:sz w:val="24"/>
          <w:szCs w:val="24"/>
          <w:lang w:eastAsia="en-US"/>
        </w:rPr>
        <w:t xml:space="preserve">, όπως και στο να καταστούν οι αθλητικές εγκαταστάσεις πόλος έλξης μεγάλων αθλητικών </w:t>
      </w:r>
      <w:r>
        <w:rPr>
          <w:rFonts w:asciiTheme="minorHAnsi" w:eastAsia="Calibri" w:hAnsiTheme="minorHAnsi" w:cstheme="minorHAnsi"/>
          <w:sz w:val="24"/>
          <w:szCs w:val="24"/>
          <w:lang w:eastAsia="en-US"/>
        </w:rPr>
        <w:lastRenderedPageBreak/>
        <w:t>διοργανώσεων, οι οποίες με τη σειρά τους θα ενισχύσουν τις κατά τόπους οικονομίες, την απασχόληση και τον τουρισμό.</w:t>
      </w:r>
    </w:p>
    <w:p w14:paraId="0BC08D2F"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 xml:space="preserve">Στον σκοπό αυτό είναι αναγκαίο να σταθμιστούν οι αυξημένες ανάγκες των ΟΤΑ Α΄ και Β’ βαθμού για την αναβάθμιση των αθλητικών τους εγκαταστάσεων, όπως και όλων των αθλητικών φορέων. Για τη καλύτερη οργάνωση και ευταξία στον τομέα αυτό, σε συνεργασία με την ΚΕΔΕ δημιουργήθηκε και η πλατφόρμα αθλητικών εγκαταστάσεων «ΠΕΛΟΠΑΣ», προκειμένου να γίνει όλη η καταγραφή των κατά τόπους αθλητικών εγκαταστάσεων από Δήμους και Περιφέρειες, ώστε να υπάρξει αξιολόγηση και </w:t>
      </w:r>
      <w:proofErr w:type="spellStart"/>
      <w:r>
        <w:rPr>
          <w:rFonts w:asciiTheme="minorHAnsi" w:eastAsia="Calibri" w:hAnsiTheme="minorHAnsi" w:cstheme="minorHAnsi"/>
          <w:sz w:val="24"/>
          <w:szCs w:val="24"/>
          <w:lang w:eastAsia="en-US"/>
        </w:rPr>
        <w:t>προτεραιοποίηση</w:t>
      </w:r>
      <w:proofErr w:type="spellEnd"/>
      <w:r>
        <w:rPr>
          <w:rFonts w:asciiTheme="minorHAnsi" w:eastAsia="Calibri" w:hAnsiTheme="minorHAnsi" w:cstheme="minorHAnsi"/>
          <w:sz w:val="24"/>
          <w:szCs w:val="24"/>
          <w:lang w:eastAsia="en-US"/>
        </w:rPr>
        <w:t xml:space="preserve"> των αθλητικών αναγκών σε υποδομές ανά περιοχή.</w:t>
      </w:r>
    </w:p>
    <w:p w14:paraId="74F50E66" w14:textId="77777777" w:rsidR="002A2422" w:rsidRDefault="002A2422">
      <w:pPr>
        <w:spacing w:before="60" w:after="60"/>
        <w:rPr>
          <w:rFonts w:asciiTheme="minorHAnsi" w:eastAsia="Calibri" w:hAnsiTheme="minorHAnsi" w:cstheme="minorHAnsi"/>
          <w:sz w:val="24"/>
          <w:szCs w:val="24"/>
          <w:lang w:eastAsia="en-US"/>
        </w:rPr>
      </w:pPr>
    </w:p>
    <w:p w14:paraId="78366672" w14:textId="77777777" w:rsidR="002A2422" w:rsidRDefault="002A2422"/>
    <w:p w14:paraId="5A052C4F" w14:textId="77777777" w:rsidR="002A2422" w:rsidRDefault="002A2422">
      <w:pPr>
        <w:rPr>
          <w:rFonts w:asciiTheme="minorHAnsi" w:hAnsiTheme="minorHAnsi" w:cstheme="minorHAnsi"/>
          <w:sz w:val="24"/>
          <w:szCs w:val="24"/>
          <w:lang w:eastAsia="en-US"/>
        </w:rPr>
        <w:sectPr w:rsidR="002A2422">
          <w:headerReference w:type="default" r:id="rId10"/>
          <w:footerReference w:type="default" r:id="rId11"/>
          <w:pgSz w:w="12240" w:h="15840"/>
          <w:pgMar w:top="1440" w:right="1440" w:bottom="1440" w:left="1440" w:header="720" w:footer="720" w:gutter="0"/>
          <w:cols w:space="720"/>
        </w:sectPr>
      </w:pPr>
    </w:p>
    <w:p w14:paraId="1381A725" w14:textId="77777777" w:rsidR="002A2422" w:rsidRDefault="003B3AD7">
      <w:pPr>
        <w:pStyle w:val="2"/>
      </w:pPr>
      <w:bookmarkStart w:id="30" w:name="_Toc68011191"/>
      <w:bookmarkStart w:id="31" w:name="_Toc73665475"/>
      <w:r>
        <w:lastRenderedPageBreak/>
        <w:t>ΑΝΑΛΥΣΗ ΤΡΕΧΟΥΣΑΣ ΚΑΤΑΣΤΑΣΗΣ  ΑΝΑ ΤΟΜΕΑ ΠΑΡΕΜΒΑΣΗΣ - ΑΝΑΛΥΣΗ ΔΥΝΑΤΟΤΗΤΩΝ - ΑΔΥΝΑΜΙΩΝ - ΠΡΟΟΠΤΙΚΩΝ – ΑΠΕΙΛΩΝ ΑΝΑ ΤΟΜΕΑ ΠΑΡΕΜΒΑΣΗΣ (SWOT ANALYSIS)</w:t>
      </w:r>
      <w:bookmarkEnd w:id="30"/>
      <w:bookmarkEnd w:id="31"/>
    </w:p>
    <w:p w14:paraId="6FF6051D" w14:textId="77777777" w:rsidR="002A2422" w:rsidRDefault="002A2422">
      <w:pPr>
        <w:spacing w:before="60" w:after="60"/>
        <w:rPr>
          <w:rFonts w:asciiTheme="minorHAnsi" w:eastAsia="Calibri" w:hAnsiTheme="minorHAnsi" w:cstheme="minorHAnsi"/>
          <w:sz w:val="24"/>
          <w:szCs w:val="24"/>
          <w:lang w:eastAsia="en-US"/>
        </w:rPr>
      </w:pPr>
    </w:p>
    <w:p w14:paraId="4C2F1F19" w14:textId="77777777" w:rsidR="002A2422" w:rsidRDefault="003B3AD7">
      <w:pPr>
        <w:spacing w:before="60" w:after="60"/>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Οι πίνακες που ακολουθούν αποτυπώνουν την ανάλυση των δυνατοτήτων - αδυναμιών - προοπτικών - απειλών  ανά πυλώνα του ΕΠΑ, συμπεριλαμβανομένων των τεσσάρων από τους πέντε πυλώνες του Εθνικού Σχεδίου Δράσης που είναι η Έξυπνη Ανάπτυξη, η Πράσινη Ανάπτυξη, η Κοινωνική Συνοχή και η Εξωστρέφεια. Σε κάθε πυλώνα αναλύονται οι ειδικοί στόχοι και προτεραιότητες του ΕΠΑ που αφορούν τον πολιτισμό και την πολιτιστική κληρονομιά.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4774"/>
      </w:tblGrid>
      <w:tr w:rsidR="002A2422" w14:paraId="086DA165" w14:textId="77777777">
        <w:tc>
          <w:tcPr>
            <w:tcW w:w="7087" w:type="dxa"/>
            <w:shd w:val="clear" w:color="auto" w:fill="C5E0B3"/>
          </w:tcPr>
          <w:p w14:paraId="46C8DBC5" w14:textId="77777777" w:rsidR="002A2422" w:rsidRDefault="003B3AD7">
            <w:pPr>
              <w:spacing w:before="20" w:after="20"/>
              <w:jc w:val="center"/>
              <w:rPr>
                <w:rFonts w:cs="Calibri"/>
                <w:b/>
                <w:bCs/>
                <w:sz w:val="20"/>
                <w:szCs w:val="20"/>
              </w:rPr>
            </w:pPr>
            <w:r>
              <w:rPr>
                <w:rFonts w:cs="Calibri"/>
                <w:b/>
                <w:bCs/>
                <w:sz w:val="20"/>
                <w:szCs w:val="20"/>
              </w:rPr>
              <w:t>Ισχυρά Σημεία</w:t>
            </w:r>
          </w:p>
        </w:tc>
        <w:tc>
          <w:tcPr>
            <w:tcW w:w="7087" w:type="dxa"/>
            <w:shd w:val="clear" w:color="auto" w:fill="F7CAAC"/>
          </w:tcPr>
          <w:p w14:paraId="22A3FEAB" w14:textId="77777777" w:rsidR="002A2422" w:rsidRDefault="003B3AD7">
            <w:pPr>
              <w:spacing w:before="20" w:after="20"/>
              <w:jc w:val="center"/>
              <w:rPr>
                <w:rFonts w:cs="Calibri"/>
                <w:b/>
                <w:bCs/>
                <w:sz w:val="20"/>
                <w:szCs w:val="20"/>
              </w:rPr>
            </w:pPr>
            <w:r>
              <w:rPr>
                <w:rFonts w:cs="Calibri"/>
                <w:b/>
                <w:bCs/>
                <w:sz w:val="20"/>
                <w:szCs w:val="20"/>
              </w:rPr>
              <w:t>Αδυναμίες (Προβλήματα / Ανάγκες)</w:t>
            </w:r>
          </w:p>
        </w:tc>
      </w:tr>
      <w:tr w:rsidR="002A2422" w14:paraId="570F6C33" w14:textId="77777777">
        <w:tc>
          <w:tcPr>
            <w:tcW w:w="7087" w:type="dxa"/>
            <w:tcBorders>
              <w:bottom w:val="single" w:sz="4" w:space="0" w:color="auto"/>
            </w:tcBorders>
            <w:shd w:val="clear" w:color="auto" w:fill="auto"/>
          </w:tcPr>
          <w:p w14:paraId="70D546CD"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Η διεθνής θέση της χώρας και η παγκόσμια αναγνώριση ως κοιτίδας πολιτισμού. Εξαιρετικά υψηλής σπουδαιότητας και αξίας πολιτιστική και πολιτισμική κληρονομιά,</w:t>
            </w:r>
          </w:p>
          <w:p w14:paraId="410A1FA2"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Ισχυρό και επαρκές θεσμικό πλαίσιο για την προστασία και ανάδειξη της πολιτιστικής κληρονομιάς,</w:t>
            </w:r>
          </w:p>
          <w:p w14:paraId="3C6C58C0"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Κεντρικές και Περιφερειακές υπηρεσίες με επιστημονική επάρκεια, εμπειρία και καταξίωση σε εθνικό και διεθνές επίπεδο,</w:t>
            </w:r>
          </w:p>
          <w:p w14:paraId="2395A1DB"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Πληθώρα δυνατοτήτων για εκτέλεση ερευνητικών έργων στον τομέα του ελληνικού Πολιτισμού (διεθνές ενδιαφέρον),</w:t>
            </w:r>
          </w:p>
          <w:p w14:paraId="3E6F1BCF"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Σε εξέλιξη σημαντικά έργα προστασίας και ανάδειξης (έργα στον Τύμβο </w:t>
            </w:r>
            <w:proofErr w:type="spellStart"/>
            <w:r>
              <w:rPr>
                <w:rFonts w:asciiTheme="minorHAnsi" w:hAnsiTheme="minorHAnsi" w:cstheme="minorHAnsi"/>
              </w:rPr>
              <w:t>Καστά</w:t>
            </w:r>
            <w:proofErr w:type="spellEnd"/>
            <w:r>
              <w:rPr>
                <w:rFonts w:asciiTheme="minorHAnsi" w:hAnsiTheme="minorHAnsi" w:cstheme="minorHAnsi"/>
              </w:rPr>
              <w:t xml:space="preserve"> Αμφίπολης, στο Διονυσιακό Θέατρο της Αθήνας, στο τ. Βασιλικό Κτήμα </w:t>
            </w:r>
            <w:proofErr w:type="spellStart"/>
            <w:r>
              <w:rPr>
                <w:rFonts w:asciiTheme="minorHAnsi" w:hAnsiTheme="minorHAnsi" w:cstheme="minorHAnsi"/>
              </w:rPr>
              <w:t>Τατοΐου</w:t>
            </w:r>
            <w:proofErr w:type="spellEnd"/>
            <w:r>
              <w:rPr>
                <w:rFonts w:asciiTheme="minorHAnsi" w:hAnsiTheme="minorHAnsi" w:cstheme="minorHAnsi"/>
              </w:rPr>
              <w:t xml:space="preserve">, στο Τέμενος Βαγιαζήτ Διδυμοτείχου κ.α.), </w:t>
            </w:r>
          </w:p>
          <w:p w14:paraId="478AB874"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Εκσυγχρονισμός και ανάπτυξη υποδομών στον τομέα του σύγχρονου πολιτισμού (ΕΜΣΤ, Εθνική Πινακοθήκη, </w:t>
            </w:r>
            <w:proofErr w:type="spellStart"/>
            <w:r>
              <w:rPr>
                <w:rFonts w:asciiTheme="minorHAnsi" w:hAnsiTheme="minorHAnsi" w:cstheme="minorHAnsi"/>
              </w:rPr>
              <w:t>υπερτοπικός</w:t>
            </w:r>
            <w:proofErr w:type="spellEnd"/>
            <w:r>
              <w:rPr>
                <w:rFonts w:asciiTheme="minorHAnsi" w:hAnsiTheme="minorHAnsi" w:cstheme="minorHAnsi"/>
              </w:rPr>
              <w:t xml:space="preserve"> πολιτιστικός πόλος ΕΑΜ-ΕΜΠ-</w:t>
            </w:r>
            <w:proofErr w:type="spellStart"/>
            <w:r>
              <w:rPr>
                <w:rFonts w:asciiTheme="minorHAnsi" w:hAnsiTheme="minorHAnsi" w:cstheme="minorHAnsi"/>
              </w:rPr>
              <w:t>Ακροπόλ</w:t>
            </w:r>
            <w:proofErr w:type="spellEnd"/>
            <w:r>
              <w:rPr>
                <w:rFonts w:asciiTheme="minorHAnsi" w:hAnsiTheme="minorHAnsi" w:cstheme="minorHAnsi"/>
              </w:rPr>
              <w:t>),</w:t>
            </w:r>
          </w:p>
          <w:p w14:paraId="2FD31554"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Σε εξέλιξη πολλά έργα βελτίωσης προσβασιμότητας και παρεχόμενων υπηρεσιών για αναβάθμιση συνολικής εμπειρίας και ασφάλειας των επισκεπτών σε μουσεία, χώρους πολιτισμού και μνημεία μέσω έργων διαμόρφωσης περιβάλλοντος χώρου, ευπρεπισμού, καθαρισμού, σήμανσης, όδευσης, πρόσβασης </w:t>
            </w:r>
            <w:proofErr w:type="spellStart"/>
            <w:r>
              <w:rPr>
                <w:rFonts w:asciiTheme="minorHAnsi" w:hAnsiTheme="minorHAnsi" w:cstheme="minorHAnsi"/>
              </w:rPr>
              <w:t>Αμ</w:t>
            </w:r>
            <w:proofErr w:type="spellEnd"/>
            <w:r>
              <w:rPr>
                <w:rFonts w:asciiTheme="minorHAnsi" w:hAnsiTheme="minorHAnsi" w:cstheme="minorHAnsi"/>
                <w:lang w:val="en-US"/>
              </w:rPr>
              <w:t>E</w:t>
            </w:r>
            <w:r>
              <w:rPr>
                <w:rFonts w:asciiTheme="minorHAnsi" w:hAnsiTheme="minorHAnsi" w:cstheme="minorHAnsi"/>
              </w:rPr>
              <w:t xml:space="preserve">Α, πωλητηρίων, </w:t>
            </w:r>
            <w:proofErr w:type="spellStart"/>
            <w:r>
              <w:rPr>
                <w:rFonts w:asciiTheme="minorHAnsi" w:hAnsiTheme="minorHAnsi" w:cstheme="minorHAnsi"/>
              </w:rPr>
              <w:t>αναψυκτηρίων</w:t>
            </w:r>
            <w:proofErr w:type="spellEnd"/>
            <w:r>
              <w:rPr>
                <w:rFonts w:asciiTheme="minorHAnsi" w:hAnsiTheme="minorHAnsi" w:cstheme="minorHAnsi"/>
              </w:rPr>
              <w:t xml:space="preserve">, ηλεκτρονικού εισιτηρίου κλπ. (π.χ. ήδη υλοποιούμενα έργα αρχαιολογικού </w:t>
            </w:r>
            <w:r>
              <w:rPr>
                <w:rFonts w:asciiTheme="minorHAnsi" w:hAnsiTheme="minorHAnsi" w:cstheme="minorHAnsi"/>
              </w:rPr>
              <w:lastRenderedPageBreak/>
              <w:t>χώρου Ακρόπολης των Αθηνών, Ελευσίνας, Μυστρά, οι χώροι του Φεστιβάλ Αθηνών, όπως Ηρώδειο &amp; Αρχαίο Θέατρο Επιδαύρου,  ΕΜΣΤ κ.ά.),</w:t>
            </w:r>
          </w:p>
          <w:p w14:paraId="4FE61387"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Σε εξέλιξη σημαντικά έργα καταγραφής, τεκμηρίωσης και διαχείρισης μνημείων και χώρων, καθώς και αγαθών της άυλης πολιτιστικής κληρονομιάς (π.χ. καταγραφή κινητών αντικειμένων τ. Βασιλικού Κτήματος </w:t>
            </w:r>
            <w:proofErr w:type="spellStart"/>
            <w:r>
              <w:rPr>
                <w:rFonts w:asciiTheme="minorHAnsi" w:hAnsiTheme="minorHAnsi" w:cstheme="minorHAnsi"/>
              </w:rPr>
              <w:t>Τατοΐου</w:t>
            </w:r>
            <w:proofErr w:type="spellEnd"/>
            <w:r>
              <w:rPr>
                <w:rFonts w:asciiTheme="minorHAnsi" w:hAnsiTheme="minorHAnsi" w:cstheme="minorHAnsi"/>
              </w:rPr>
              <w:t>, προώθηση και εμπλουτισμός Εθνικού Αρχείου Μνημείων, Αρχαιολογικού Κτηματολογίου Εθνικού Ευρετηρίου στοιχείων της Άυλης Πολιτιστικής Κληρονομιάς),</w:t>
            </w:r>
          </w:p>
          <w:p w14:paraId="4887FDFB"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Ανάδειξη και απόδοση στο κοινό ως </w:t>
            </w:r>
            <w:proofErr w:type="spellStart"/>
            <w:r>
              <w:rPr>
                <w:rFonts w:asciiTheme="minorHAnsi" w:hAnsiTheme="minorHAnsi" w:cstheme="minorHAnsi"/>
              </w:rPr>
              <w:t>προσβάσιμων</w:t>
            </w:r>
            <w:proofErr w:type="spellEnd"/>
            <w:r>
              <w:rPr>
                <w:rFonts w:asciiTheme="minorHAnsi" w:hAnsiTheme="minorHAnsi" w:cstheme="minorHAnsi"/>
              </w:rPr>
              <w:t xml:space="preserve"> και επισκέψιμων μνημείων και χώρων (π.χ. ήδη υλοποιούμενα έργα ανάδειξης </w:t>
            </w:r>
            <w:proofErr w:type="spellStart"/>
            <w:r>
              <w:rPr>
                <w:rFonts w:asciiTheme="minorHAnsi" w:hAnsiTheme="minorHAnsi" w:cstheme="minorHAnsi"/>
              </w:rPr>
              <w:t>Κονώνειου</w:t>
            </w:r>
            <w:proofErr w:type="spellEnd"/>
            <w:r>
              <w:rPr>
                <w:rFonts w:asciiTheme="minorHAnsi" w:hAnsiTheme="minorHAnsi" w:cstheme="minorHAnsi"/>
              </w:rPr>
              <w:t xml:space="preserve"> Τείχους Πειραιά, αρχαίας Μεσσήνης, κάστρου Καλαμάτας, </w:t>
            </w:r>
            <w:proofErr w:type="spellStart"/>
            <w:r>
              <w:rPr>
                <w:rFonts w:asciiTheme="minorHAnsi" w:hAnsiTheme="minorHAnsi" w:cstheme="minorHAnsi"/>
              </w:rPr>
              <w:t>Ευπαλίνειου</w:t>
            </w:r>
            <w:proofErr w:type="spellEnd"/>
            <w:r>
              <w:rPr>
                <w:rFonts w:asciiTheme="minorHAnsi" w:hAnsiTheme="minorHAnsi" w:cstheme="minorHAnsi"/>
              </w:rPr>
              <w:t xml:space="preserve"> υδραγωγείου Σάμου, κάστρου και επιθαλάσσιου τείχους Μονεμβασιάς, μνημείων πόλης Ρόδου, μνημείων παλαιάς πόλης Κέρκυρας κ.ά.),</w:t>
            </w:r>
          </w:p>
          <w:p w14:paraId="24275B28"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Αξιοποίηση των νέων τεχνολογιών και των δυνατοτήτων τους για διεύρυνση της ισότιμης πρόσβασης βάσει των διεθνών κανόνων και προτύπων προσβασιμότητας  (W3C </w:t>
            </w:r>
            <w:proofErr w:type="spellStart"/>
            <w:r>
              <w:rPr>
                <w:rFonts w:asciiTheme="minorHAnsi" w:hAnsiTheme="minorHAnsi" w:cstheme="minorHAnsi"/>
              </w:rPr>
              <w:t>initiative</w:t>
            </w:r>
            <w:proofErr w:type="spellEnd"/>
            <w:r>
              <w:rPr>
                <w:rFonts w:asciiTheme="minorHAnsi" w:hAnsiTheme="minorHAnsi" w:cstheme="minorHAnsi"/>
              </w:rPr>
              <w:t xml:space="preserve">), </w:t>
            </w:r>
          </w:p>
          <w:p w14:paraId="14E0C043"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Η διοργάνωση διεθνών θεσμών σύγχρονου πολιτισμού στις Περιφέρειες Αττικής και Κεντρικής Μακεδονίας (Συμμετοχή σε εκθέσεις βιβλίου, Φεστιβάλ Αθηνών και Θεσσαλονίκης),</w:t>
            </w:r>
          </w:p>
          <w:p w14:paraId="0D3C7CB2"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Εξειδίκευση των παρεμβάσεων σε δράσεις σύγχρονου πολιτισμού όπως ψηφιακή ανάγνωση, διαδικτυακά φεστιβάλ, δράσεις ψηφιακού πολιτισμού, </w:t>
            </w:r>
          </w:p>
          <w:p w14:paraId="64886E89"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Σημαντικές δυνατότητες διαφοροποίησης του τουριστικού προϊόντος σε κάθε περιοχή και προσαρμογή του σε ειδικές ομάδες τουριστών,</w:t>
            </w:r>
          </w:p>
          <w:p w14:paraId="61056E9C"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Σημαντικοί χώροι πολιτισμού, στοιχεία ιστορικού ενδιαφέροντος και πολιτιστικής κληρονομιάς και ενάλιες αρχαιότητες σε μεγαλύτερα και μικρότερα νησιά,</w:t>
            </w:r>
          </w:p>
          <w:p w14:paraId="287145A4"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Ενισχυμένες δυνατότητες ανάδειξης και σύνδεσης της πολιτιστικής κληρονομιάς με τη σύγχρονη πολιτιστική δημιουργία,</w:t>
            </w:r>
          </w:p>
          <w:p w14:paraId="1C897ECB"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Η διοργάνωση κεντρικής σημασίας γεγονότων με πολιτιστική σημασία (200 χρόνια της Ελληνικής επανάστασης, επέτειος των 2500 </w:t>
            </w:r>
            <w:r>
              <w:rPr>
                <w:rFonts w:asciiTheme="minorHAnsi" w:hAnsiTheme="minorHAnsi" w:cstheme="minorHAnsi"/>
              </w:rPr>
              <w:lastRenderedPageBreak/>
              <w:t>ετών από την ναυμαχία της Σαλαμίνας και η ανάδειξη της Ελευσίνας σε πολιτιστική πρωτεύουσα για το 2023),</w:t>
            </w:r>
          </w:p>
          <w:p w14:paraId="61D1FFE5"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Οι ΠΔΒ περιλαμβάνουν σύγχρονους τομείς  οικονομικής δραστηριότητας που ενισχύουν ευρύτερα τη δημιουργικότητα, με ολοένα ισχυρότερη συμβολή στην οικονομική ανάπτυξη (μεγάλος αριθμός ΠΔΒ στην Περιφέρεια Αττικής).</w:t>
            </w:r>
          </w:p>
          <w:p w14:paraId="5052DF57"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Η διεθνής θέση της χώρας και η παγκόσμια αναγνώριση ως κοιτίδας αθλητισμού. Εξαιρετικά υψηλής σπουδαιότητας και αξίας αθλητικό αποτύπωμα.</w:t>
            </w:r>
          </w:p>
          <w:p w14:paraId="164EDCB5"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Αθλητικές εγκαταστάσεις ικανές να φιλοξενήσουν μεσαίας και μεγάλης κλίμακας διεθνείς αθλητικές διοργανώσεις.</w:t>
            </w:r>
          </w:p>
          <w:p w14:paraId="6A75C5E5"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Προτεραιότητα η οριζόντια ανάπτυξη και προώθηση στον γενικό πληθυσμό όλων των μορφών του αθλητισμού.</w:t>
            </w:r>
          </w:p>
          <w:p w14:paraId="4335E098"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Αναβάθμιση Ο.Α.Κ.Α.</w:t>
            </w:r>
          </w:p>
          <w:p w14:paraId="04F61179"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Αναβάθμιση Σταδίου Ειρήνης και Φιλίας</w:t>
            </w:r>
          </w:p>
          <w:p w14:paraId="6F08F1CC"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Αξιοποίηση εγκαταστάσεων Ολυμπιακού Χωριού</w:t>
            </w:r>
          </w:p>
          <w:p w14:paraId="45310AB5"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lang w:val="en-US"/>
              </w:rPr>
              <w:t>A</w:t>
            </w:r>
            <w:proofErr w:type="spellStart"/>
            <w:r>
              <w:rPr>
                <w:rFonts w:asciiTheme="minorHAnsi" w:hAnsiTheme="minorHAnsi" w:cstheme="minorHAnsi"/>
              </w:rPr>
              <w:t>ξιοποίηση</w:t>
            </w:r>
            <w:proofErr w:type="spellEnd"/>
            <w:r>
              <w:rPr>
                <w:rFonts w:asciiTheme="minorHAnsi" w:hAnsiTheme="minorHAnsi" w:cstheme="minorHAnsi"/>
              </w:rPr>
              <w:t xml:space="preserve"> εγκαταστάσεων Σκοπευτηρίου Βύρωνα</w:t>
            </w:r>
          </w:p>
          <w:p w14:paraId="0574954E"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Δημιουργία </w:t>
            </w:r>
            <w:proofErr w:type="spellStart"/>
            <w:r>
              <w:rPr>
                <w:rFonts w:asciiTheme="minorHAnsi" w:hAnsiTheme="minorHAnsi" w:cstheme="minorHAnsi"/>
              </w:rPr>
              <w:t>Παραολυμπιακού</w:t>
            </w:r>
            <w:proofErr w:type="spellEnd"/>
            <w:r>
              <w:rPr>
                <w:rFonts w:asciiTheme="minorHAnsi" w:hAnsiTheme="minorHAnsi" w:cstheme="minorHAnsi"/>
              </w:rPr>
              <w:t xml:space="preserve"> Αθλητικού Κέντρου, της πρώτης αθλητικής εγκατάστασης για </w:t>
            </w:r>
            <w:proofErr w:type="spellStart"/>
            <w:r>
              <w:rPr>
                <w:rFonts w:asciiTheme="minorHAnsi" w:hAnsiTheme="minorHAnsi" w:cstheme="minorHAnsi"/>
              </w:rPr>
              <w:t>ΑμΕΑ</w:t>
            </w:r>
            <w:proofErr w:type="spellEnd"/>
          </w:p>
          <w:p w14:paraId="649072C1"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Αναβάθμιση των εγκαταστάσεων όλων των Εθνικών Αθλητικών Κέντρων της χώρας που εποπτεύονται από τη Γενική Γραμματεία Αθλητισμού</w:t>
            </w:r>
          </w:p>
          <w:p w14:paraId="148F3068"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Αναβάθμιση Εθνικού Κέντρου Αθλητικών Ερευνών</w:t>
            </w:r>
          </w:p>
          <w:p w14:paraId="5440B489"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Δράσεις αντιμετώπισης του ντόπινγκ, των χειραγωγημένων αγώνων και της βίας στον αθλητισμό</w:t>
            </w:r>
          </w:p>
          <w:p w14:paraId="515AD2CC"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Λειτουργία Εθνικού Οργανισμού Καταπολέμησης του Ντόπινγκ (ΕΟΚΑΝ) και ολοκλήρωση της διαδικασίας συμμόρφωσης με τους κανονισμούς που διέπουν τον Παγκόσμιο Οργανισμό Αντιντόπινγκ (WADA),</w:t>
            </w:r>
          </w:p>
          <w:p w14:paraId="2455AC96"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Εθνική Πλατφόρμα Αθλητικής Ακεραιότητας</w:t>
            </w:r>
          </w:p>
          <w:p w14:paraId="05CAAD1E"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Λειτουργία Ινστιτούτου Επιμόρφωσης Αθλητικών Στελεχών</w:t>
            </w:r>
          </w:p>
          <w:p w14:paraId="4B601B55"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lastRenderedPageBreak/>
              <w:t>Δράσεις και πρωτοβουλίες του «Ζήσε Αθλητικά» με σκοπό την προώθηση των αξιών του αθλητισμού στην κοινωνία.</w:t>
            </w:r>
          </w:p>
          <w:p w14:paraId="41057800"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Ενεργοποίηση Εθνικής Πλατφόρμας Αθλητικής Ακεραιότητας (ΕΠΑΘΛΑ) η οποία θα συμβάλλει στον εντοπισμό και την αντιμετώπιση των χειραγωγημένων αγώνων,</w:t>
            </w:r>
          </w:p>
          <w:p w14:paraId="09D975F7"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Λειτουργία Ινστιτούτου Επιμόρφωσης Αθλητικών Στελεχών για την κατάλληλη κατάρτισή τους σε γνώσεις στρατηγικού σχεδιασμού και αθλητικής διοίκησης,</w:t>
            </w:r>
          </w:p>
          <w:p w14:paraId="768F2FA9"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Κλιμάκια Ελέγχου Αθλητικών Φορέων</w:t>
            </w:r>
            <w:r>
              <w:t xml:space="preserve"> </w:t>
            </w:r>
            <w:r>
              <w:rPr>
                <w:rFonts w:asciiTheme="minorHAnsi" w:hAnsiTheme="minorHAnsi" w:cstheme="minorHAnsi"/>
              </w:rPr>
              <w:t>αναφορικά με τη δραστηριότητα και τη σωστή λειτουργία τους στο πλαίσιο της χρηστής διοίκησης,</w:t>
            </w:r>
          </w:p>
          <w:p w14:paraId="6E2469AB" w14:textId="77777777" w:rsidR="002A2422" w:rsidRDefault="003B3AD7">
            <w:pPr>
              <w:pStyle w:val="ad"/>
              <w:numPr>
                <w:ilvl w:val="0"/>
                <w:numId w:val="6"/>
              </w:numPr>
              <w:rPr>
                <w:rFonts w:asciiTheme="minorHAnsi" w:hAnsiTheme="minorHAnsi" w:cstheme="minorHAnsi"/>
              </w:rPr>
            </w:pPr>
            <w:r>
              <w:rPr>
                <w:rFonts w:asciiTheme="minorHAnsi" w:hAnsiTheme="minorHAnsi" w:cstheme="minorHAnsi"/>
              </w:rPr>
              <w:t>Λειτουργία Κέντρου Υποστήριξης Αθλητισμού (</w:t>
            </w:r>
            <w:proofErr w:type="spellStart"/>
            <w:r>
              <w:rPr>
                <w:rFonts w:asciiTheme="minorHAnsi" w:hAnsiTheme="minorHAnsi" w:cstheme="minorHAnsi"/>
              </w:rPr>
              <w:t>Help</w:t>
            </w:r>
            <w:proofErr w:type="spellEnd"/>
            <w:r>
              <w:rPr>
                <w:rFonts w:asciiTheme="minorHAnsi" w:hAnsiTheme="minorHAnsi" w:cstheme="minorHAnsi"/>
              </w:rPr>
              <w:t xml:space="preserve"> </w:t>
            </w:r>
            <w:proofErr w:type="spellStart"/>
            <w:r>
              <w:rPr>
                <w:rFonts w:asciiTheme="minorHAnsi" w:hAnsiTheme="minorHAnsi" w:cstheme="minorHAnsi"/>
              </w:rPr>
              <w:t>Desk</w:t>
            </w:r>
            <w:proofErr w:type="spellEnd"/>
            <w:r>
              <w:rPr>
                <w:rFonts w:asciiTheme="minorHAnsi" w:hAnsiTheme="minorHAnsi" w:cstheme="minorHAnsi"/>
              </w:rPr>
              <w:t>) και θέσπιση αθλητικού συνηγόρου με παράλληλη λειτουργία Γραμμής Συμβουλευτικής Υποστήριξης για τον έγκαιρο εντοπισμό και τη δίκαιη και αποτελεσματική διαχείριση των καταγγελιών και την υποστήριξη των αθλητών που υφίστανται οποιουδήποτε είδους κακοποίηση.</w:t>
            </w:r>
          </w:p>
          <w:p w14:paraId="05F6A7F5" w14:textId="77777777" w:rsidR="002A2422" w:rsidRDefault="002A2422">
            <w:pPr>
              <w:spacing w:before="20" w:after="20" w:line="259" w:lineRule="auto"/>
              <w:ind w:left="360"/>
              <w:rPr>
                <w:rFonts w:asciiTheme="minorHAnsi" w:hAnsiTheme="minorHAnsi" w:cstheme="minorHAnsi"/>
              </w:rPr>
            </w:pPr>
          </w:p>
          <w:p w14:paraId="62960598" w14:textId="77777777" w:rsidR="002A2422" w:rsidRDefault="002A2422">
            <w:pPr>
              <w:spacing w:before="20" w:after="20" w:line="259" w:lineRule="auto"/>
              <w:rPr>
                <w:rFonts w:asciiTheme="minorHAnsi" w:hAnsiTheme="minorHAnsi" w:cstheme="minorHAnsi"/>
              </w:rPr>
            </w:pPr>
          </w:p>
          <w:p w14:paraId="30617CC6" w14:textId="77777777" w:rsidR="002A2422" w:rsidRDefault="002A2422">
            <w:pPr>
              <w:spacing w:before="20" w:after="20"/>
              <w:ind w:left="360"/>
              <w:rPr>
                <w:rFonts w:asciiTheme="minorHAnsi" w:hAnsiTheme="minorHAnsi" w:cstheme="minorHAnsi"/>
              </w:rPr>
            </w:pPr>
          </w:p>
          <w:p w14:paraId="26FC88A1" w14:textId="77777777" w:rsidR="002A2422" w:rsidRDefault="002A2422">
            <w:pPr>
              <w:spacing w:before="20" w:after="20"/>
              <w:ind w:left="360"/>
              <w:rPr>
                <w:rFonts w:asciiTheme="minorHAnsi" w:hAnsiTheme="minorHAnsi" w:cstheme="minorHAnsi"/>
              </w:rPr>
            </w:pPr>
          </w:p>
          <w:p w14:paraId="41125404" w14:textId="77777777" w:rsidR="002A2422" w:rsidRDefault="002A2422">
            <w:pPr>
              <w:spacing w:before="20" w:after="20"/>
              <w:ind w:left="360"/>
              <w:rPr>
                <w:rFonts w:asciiTheme="minorHAnsi" w:hAnsiTheme="minorHAnsi" w:cstheme="minorHAnsi"/>
              </w:rPr>
            </w:pPr>
          </w:p>
          <w:p w14:paraId="772DFAE3" w14:textId="77777777" w:rsidR="002A2422" w:rsidRDefault="002A2422">
            <w:pPr>
              <w:spacing w:before="20" w:after="20"/>
              <w:ind w:left="360"/>
              <w:rPr>
                <w:rFonts w:asciiTheme="minorHAnsi" w:hAnsiTheme="minorHAnsi" w:cstheme="minorHAnsi"/>
              </w:rPr>
            </w:pPr>
          </w:p>
          <w:p w14:paraId="39FEC3B6" w14:textId="77777777" w:rsidR="002A2422" w:rsidRDefault="002A2422">
            <w:pPr>
              <w:spacing w:before="20" w:after="20"/>
              <w:ind w:left="360"/>
              <w:rPr>
                <w:rFonts w:asciiTheme="minorHAnsi" w:hAnsiTheme="minorHAnsi" w:cstheme="minorHAnsi"/>
              </w:rPr>
            </w:pPr>
          </w:p>
          <w:p w14:paraId="7DA6F0A9" w14:textId="77777777" w:rsidR="002A2422" w:rsidRDefault="002A2422">
            <w:pPr>
              <w:spacing w:before="20" w:after="20"/>
              <w:ind w:left="360"/>
              <w:rPr>
                <w:rFonts w:asciiTheme="minorHAnsi" w:hAnsiTheme="minorHAnsi" w:cstheme="minorHAnsi"/>
              </w:rPr>
            </w:pPr>
          </w:p>
        </w:tc>
        <w:tc>
          <w:tcPr>
            <w:tcW w:w="7087" w:type="dxa"/>
            <w:tcBorders>
              <w:bottom w:val="single" w:sz="4" w:space="0" w:color="auto"/>
            </w:tcBorders>
            <w:shd w:val="clear" w:color="auto" w:fill="auto"/>
          </w:tcPr>
          <w:p w14:paraId="086B718B"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lastRenderedPageBreak/>
              <w:t>Προσαρμογή οργανωτικών δομών και λειτουργιών στις σύγχρονες ανάγκες,</w:t>
            </w:r>
          </w:p>
          <w:p w14:paraId="1CEF9593"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Ανάγκες στελέχωσης κεντρικών και περιφερειακών υπηρεσιών και εποπτευόμενων νομικών προσώπων,</w:t>
            </w:r>
          </w:p>
          <w:p w14:paraId="2E49E518"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Μη οργανωμένη θεσμικά η ερευνητική και εκπαιδευτική -σε επίπεδο τριτοβάθμιας εκπαίδευσης- δραστηριότητα σε πολλούς τομείς του ελληνικού πολιτισμού και αθλητισμού,</w:t>
            </w:r>
          </w:p>
          <w:p w14:paraId="63E6A880"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Έλλειψη οργανωμένου σχεδίου για τη συνολική ανάδειξη του ελληνικού πολιτισμού με ψηφιακές εφαρμογές,</w:t>
            </w:r>
          </w:p>
          <w:p w14:paraId="22DB2E16"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Καθυστερήσεις στη διασύνδεση του </w:t>
            </w:r>
            <w:proofErr w:type="spellStart"/>
            <w:r>
              <w:rPr>
                <w:rFonts w:asciiTheme="minorHAnsi" w:hAnsiTheme="minorHAnsi" w:cstheme="minorHAnsi"/>
              </w:rPr>
              <w:t>ΥπΠοA</w:t>
            </w:r>
            <w:proofErr w:type="spellEnd"/>
            <w:r>
              <w:rPr>
                <w:rFonts w:asciiTheme="minorHAnsi" w:hAnsiTheme="minorHAnsi" w:cstheme="minorHAnsi"/>
              </w:rPr>
              <w:t xml:space="preserve"> με την ψηφιακή διακυβέρνηση,</w:t>
            </w:r>
          </w:p>
          <w:p w14:paraId="4D83D7EF"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Λόγω της απαίτησης διατήρησης ειδικών συνθηκών υγρασίας και θερμοκρασίας πολλά μουσεία είναι ιδιαίτερα </w:t>
            </w:r>
            <w:proofErr w:type="spellStart"/>
            <w:r>
              <w:rPr>
                <w:rFonts w:asciiTheme="minorHAnsi" w:hAnsiTheme="minorHAnsi" w:cstheme="minorHAnsi"/>
              </w:rPr>
              <w:t>ενεργοβόρα</w:t>
            </w:r>
            <w:proofErr w:type="spellEnd"/>
            <w:r>
              <w:rPr>
                <w:rFonts w:asciiTheme="minorHAnsi" w:hAnsiTheme="minorHAnsi" w:cstheme="minorHAnsi"/>
              </w:rPr>
              <w:t>,</w:t>
            </w:r>
          </w:p>
          <w:p w14:paraId="55FFD2C6"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Σημαντικές οι ανάγκες έργων πρόληψης φυσικών καταστροφών και αντιμετώπισης της κλιματικής αλλαγής, τόσο σε μελέτες, υλοποίηση, οργάνωση αλλά και σε πόρους,</w:t>
            </w:r>
          </w:p>
          <w:p w14:paraId="5245E5CC"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Στελέχωση, κατάρτιση και εξειδίκευση προσωπικού σε θέματα διαχείρισης κινδύνων,</w:t>
            </w:r>
          </w:p>
          <w:p w14:paraId="5E8DA437"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Ιδιαίτερα δυσχερής η μετατροπή πολλών χώρων πολιτισμού, ώστε να είναι επαρκώς </w:t>
            </w:r>
            <w:proofErr w:type="spellStart"/>
            <w:r>
              <w:rPr>
                <w:rFonts w:asciiTheme="minorHAnsi" w:hAnsiTheme="minorHAnsi" w:cstheme="minorHAnsi"/>
              </w:rPr>
              <w:t>προσβάσιµες</w:t>
            </w:r>
            <w:proofErr w:type="spellEnd"/>
            <w:r>
              <w:rPr>
                <w:rFonts w:asciiTheme="minorHAnsi" w:hAnsiTheme="minorHAnsi" w:cstheme="minorHAnsi"/>
              </w:rPr>
              <w:t xml:space="preserve"> για τα </w:t>
            </w:r>
            <w:proofErr w:type="spellStart"/>
            <w:r>
              <w:rPr>
                <w:rFonts w:asciiTheme="minorHAnsi" w:hAnsiTheme="minorHAnsi" w:cstheme="minorHAnsi"/>
              </w:rPr>
              <w:t>ΑμεΑ</w:t>
            </w:r>
            <w:proofErr w:type="spellEnd"/>
            <w:r>
              <w:rPr>
                <w:rFonts w:asciiTheme="minorHAnsi" w:hAnsiTheme="minorHAnsi" w:cstheme="minorHAnsi"/>
              </w:rPr>
              <w:t>,</w:t>
            </w:r>
          </w:p>
          <w:p w14:paraId="7AE1BB67"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Άνιση πρόσβαση πληθυσμού στον πολιτισμό (ειδικά ως προς τις ευάλωτες κοινωνικές ομάδες και άτομα εκτός αστικών κέντρων),</w:t>
            </w:r>
          </w:p>
          <w:p w14:paraId="40DF4E10"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Χαμηλή η δυνατότητα των αρμόδιων υπηρεσιών για ωρίμανση έργων ανάδειξης, </w:t>
            </w:r>
            <w:r>
              <w:rPr>
                <w:rFonts w:asciiTheme="minorHAnsi" w:hAnsiTheme="minorHAnsi" w:cstheme="minorHAnsi"/>
              </w:rPr>
              <w:lastRenderedPageBreak/>
              <w:t xml:space="preserve">ειδικότερα στα νησιά, λόγω </w:t>
            </w:r>
            <w:proofErr w:type="spellStart"/>
            <w:r>
              <w:rPr>
                <w:rFonts w:asciiTheme="minorHAnsi" w:hAnsiTheme="minorHAnsi" w:cstheme="minorHAnsi"/>
              </w:rPr>
              <w:t>υποστελέχωσης</w:t>
            </w:r>
            <w:proofErr w:type="spellEnd"/>
            <w:r>
              <w:rPr>
                <w:rFonts w:asciiTheme="minorHAnsi" w:hAnsiTheme="minorHAnsi" w:cstheme="minorHAnsi"/>
              </w:rPr>
              <w:t xml:space="preserve"> των υπηρεσιών και του υψηλού κόστους ανάδειξης,</w:t>
            </w:r>
          </w:p>
          <w:p w14:paraId="51C2882A"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Η χρηματοδότηση από το ΕΠΑ αλλά και το ΕΣΠΑ υπολείπεται σημαντικά των αναγκών χρηματοδότησης,</w:t>
            </w:r>
          </w:p>
          <w:p w14:paraId="2EEE909F"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Χαμηλό επίπεδο προετοιμασίας για την Ελευσίνα πολιτιστική πρωτεύουσα, τόσο σε επίπεδο φορέα όσο και σε επίπεδο υποδομών,</w:t>
            </w:r>
          </w:p>
          <w:p w14:paraId="112EE3AE"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Χαμηλή σχέση εσόδων προς ίδιους πόρους στους πολιτιστικούς φορείς,</w:t>
            </w:r>
          </w:p>
          <w:p w14:paraId="4EE13B5D"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Έλλειψη εφαρμογής κανόνων σύγχρονου </w:t>
            </w:r>
            <w:proofErr w:type="spellStart"/>
            <w:r>
              <w:rPr>
                <w:rFonts w:asciiTheme="minorHAnsi" w:hAnsiTheme="minorHAnsi" w:cstheme="minorHAnsi"/>
              </w:rPr>
              <w:t>μανατζμεντ</w:t>
            </w:r>
            <w:proofErr w:type="spellEnd"/>
            <w:r>
              <w:rPr>
                <w:rFonts w:asciiTheme="minorHAnsi" w:hAnsiTheme="minorHAnsi" w:cstheme="minorHAnsi"/>
              </w:rPr>
              <w:t>, όπως αξιολόγηση απόδοσης, δείκτες παρακολούθησης κλπ. στους εποπτευόμενους φορείς,</w:t>
            </w:r>
          </w:p>
          <w:p w14:paraId="31AF3E9F"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Πολλά Μουσεία χρήζουν αναβαθμίσεων και ανακαινίσεων,</w:t>
            </w:r>
          </w:p>
          <w:p w14:paraId="2B021974"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Ελλείψεις σε υποδομές σύγχρονου πολιτισμού στην περιφέρεια,</w:t>
            </w:r>
          </w:p>
          <w:p w14:paraId="0A9739C1"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Χαμηλό το παραγόμενο ΑΕΠ από τις ΠΔΒ σε σχέση με άλλες χώρες και σε σχέση με τις εγχώριες δυνατότητες,</w:t>
            </w:r>
          </w:p>
          <w:p w14:paraId="668F66F2"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Χαμηλή η ανάπτυξη και διασύνδεση των ΠΔΒ στην Περιφέρεια,</w:t>
            </w:r>
          </w:p>
          <w:p w14:paraId="266D36D8"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Χαμηλή η διασύνδεση των ΠΔΒ με το </w:t>
            </w:r>
            <w:proofErr w:type="spellStart"/>
            <w:r>
              <w:rPr>
                <w:rFonts w:asciiTheme="minorHAnsi" w:hAnsiTheme="minorHAnsi" w:cstheme="minorHAnsi"/>
              </w:rPr>
              <w:t>ΥπΠοΑ</w:t>
            </w:r>
            <w:proofErr w:type="spellEnd"/>
            <w:r>
              <w:rPr>
                <w:rFonts w:asciiTheme="minorHAnsi" w:hAnsiTheme="minorHAnsi" w:cstheme="minorHAnsi"/>
              </w:rPr>
              <w:t xml:space="preserve"> και τους εποπτευόμενους φορείς του,</w:t>
            </w:r>
          </w:p>
          <w:p w14:paraId="46DDC9A5"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Αναχρονιστικό το πλαίσιο των ΠΔΒ για τα πνευματικά και συγγενικά δικαιώματα,</w:t>
            </w:r>
          </w:p>
          <w:p w14:paraId="458D9C3A"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Φαινόμενα αδήλωτης εργασίας και φοροδιαφυγής στην πολιτιστική οικονομία δεν λειτουργεί νόμιμα,</w:t>
            </w:r>
          </w:p>
          <w:p w14:paraId="64AF3C61"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Η αποσπασματική μέχρι τώρα προσπάθεια διασύνδεσης του πολιτισμού και αθλητισμού με το τουριστικό προϊόν της χώρας.</w:t>
            </w:r>
          </w:p>
          <w:p w14:paraId="31AC30E0"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Ανάγκη για βελτιωμένες υποδομές αθλητισμού σε όλη τη χώρα.</w:t>
            </w:r>
          </w:p>
          <w:p w14:paraId="35DBE0D6"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Ανάγκη για αθλητικές εγκαταστάσεις που θα μπορούν να υποστηρίξουν διοργανώσεις εναλλακτικού αθλητισμού.</w:t>
            </w:r>
          </w:p>
          <w:p w14:paraId="4F4D34F4"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Φαινόμενα παραβατικότητας στον αθλητισμό (ντόπινγκ, αθλητική βία, χειραγώγηση αγώνων, κακοποίηση αθλητών κ.λπ.),</w:t>
            </w:r>
          </w:p>
          <w:p w14:paraId="5FF54BDB" w14:textId="77777777" w:rsidR="002A2422" w:rsidRDefault="003B3AD7">
            <w:pPr>
              <w:numPr>
                <w:ilvl w:val="0"/>
                <w:numId w:val="6"/>
              </w:numPr>
              <w:spacing w:before="20" w:after="20" w:line="259" w:lineRule="auto"/>
              <w:rPr>
                <w:rFonts w:asciiTheme="minorHAnsi" w:hAnsiTheme="minorHAnsi" w:cstheme="minorHAnsi"/>
              </w:rPr>
            </w:pPr>
            <w:proofErr w:type="spellStart"/>
            <w:r>
              <w:rPr>
                <w:rFonts w:asciiTheme="minorHAnsi" w:hAnsiTheme="minorHAnsi" w:cstheme="minorHAnsi"/>
              </w:rPr>
              <w:t>Ενεργοβόρες</w:t>
            </w:r>
            <w:proofErr w:type="spellEnd"/>
            <w:r>
              <w:rPr>
                <w:rFonts w:asciiTheme="minorHAnsi" w:hAnsiTheme="minorHAnsi" w:cstheme="minorHAnsi"/>
              </w:rPr>
              <w:t xml:space="preserve"> αθλητικές υποδομές και φαινόμενα ελλιπούς συντήρησής τους,</w:t>
            </w:r>
          </w:p>
          <w:p w14:paraId="606BFAE1" w14:textId="77777777" w:rsidR="002A2422" w:rsidRDefault="003B3AD7">
            <w:pPr>
              <w:pStyle w:val="ad"/>
              <w:numPr>
                <w:ilvl w:val="0"/>
                <w:numId w:val="6"/>
              </w:numPr>
              <w:rPr>
                <w:rFonts w:asciiTheme="minorHAnsi" w:hAnsiTheme="minorHAnsi" w:cstheme="minorHAnsi"/>
              </w:rPr>
            </w:pPr>
            <w:r>
              <w:rPr>
                <w:rFonts w:asciiTheme="minorHAnsi" w:hAnsiTheme="minorHAnsi" w:cstheme="minorHAnsi"/>
              </w:rPr>
              <w:lastRenderedPageBreak/>
              <w:t>Έλλειψη πληροφόρησης σχετικά με τα προγράμματα αθλητισμού</w:t>
            </w:r>
          </w:p>
          <w:p w14:paraId="29848047" w14:textId="77777777" w:rsidR="002A2422" w:rsidRDefault="002A2422">
            <w:pPr>
              <w:spacing w:before="20" w:after="20" w:line="259" w:lineRule="auto"/>
              <w:ind w:left="360"/>
              <w:rPr>
                <w:rFonts w:asciiTheme="minorHAnsi" w:hAnsiTheme="minorHAnsi" w:cstheme="minorHAnsi"/>
              </w:rPr>
            </w:pPr>
          </w:p>
          <w:p w14:paraId="5B39E4E8" w14:textId="77777777" w:rsidR="002A2422" w:rsidRDefault="002A2422">
            <w:pPr>
              <w:spacing w:before="20" w:after="20" w:line="259" w:lineRule="auto"/>
              <w:rPr>
                <w:rFonts w:asciiTheme="minorHAnsi" w:hAnsiTheme="minorHAnsi" w:cstheme="minorHAnsi"/>
              </w:rPr>
            </w:pPr>
          </w:p>
        </w:tc>
      </w:tr>
      <w:tr w:rsidR="002A2422" w14:paraId="19A2EE31" w14:textId="77777777">
        <w:tc>
          <w:tcPr>
            <w:tcW w:w="7087" w:type="dxa"/>
            <w:shd w:val="clear" w:color="auto" w:fill="BDD6EE"/>
          </w:tcPr>
          <w:p w14:paraId="05B6CB27" w14:textId="77777777" w:rsidR="002A2422" w:rsidRDefault="003B3AD7">
            <w:pPr>
              <w:spacing w:before="20" w:after="20"/>
              <w:jc w:val="center"/>
              <w:rPr>
                <w:rFonts w:asciiTheme="minorHAnsi" w:hAnsiTheme="minorHAnsi" w:cstheme="minorHAnsi"/>
                <w:b/>
                <w:bCs/>
              </w:rPr>
            </w:pPr>
            <w:r>
              <w:rPr>
                <w:rFonts w:asciiTheme="minorHAnsi" w:hAnsiTheme="minorHAnsi" w:cstheme="minorHAnsi"/>
                <w:b/>
                <w:bCs/>
              </w:rPr>
              <w:lastRenderedPageBreak/>
              <w:t>Ευκαιρίες</w:t>
            </w:r>
          </w:p>
        </w:tc>
        <w:tc>
          <w:tcPr>
            <w:tcW w:w="7087" w:type="dxa"/>
            <w:shd w:val="clear" w:color="auto" w:fill="FFE599"/>
          </w:tcPr>
          <w:p w14:paraId="509C5CDA" w14:textId="77777777" w:rsidR="002A2422" w:rsidRDefault="003B3AD7">
            <w:pPr>
              <w:spacing w:before="20" w:after="20"/>
              <w:jc w:val="center"/>
              <w:rPr>
                <w:rFonts w:asciiTheme="minorHAnsi" w:hAnsiTheme="minorHAnsi" w:cstheme="minorHAnsi"/>
                <w:b/>
                <w:bCs/>
              </w:rPr>
            </w:pPr>
            <w:r>
              <w:rPr>
                <w:rFonts w:asciiTheme="minorHAnsi" w:hAnsiTheme="minorHAnsi" w:cstheme="minorHAnsi"/>
                <w:b/>
                <w:bCs/>
              </w:rPr>
              <w:t>Απειλές</w:t>
            </w:r>
          </w:p>
        </w:tc>
      </w:tr>
      <w:tr w:rsidR="002A2422" w14:paraId="2433E4A2" w14:textId="77777777">
        <w:tc>
          <w:tcPr>
            <w:tcW w:w="7087" w:type="dxa"/>
            <w:shd w:val="clear" w:color="auto" w:fill="auto"/>
          </w:tcPr>
          <w:p w14:paraId="1A987CDC"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Δυνατότητα χρηματοδότησης της έρευνας και των υποδομών πολιτισμού, καθώς και των αθλητικών εγκαταστάσεων από διάφορες πηγές: ΕΣΠΑ, ΕΠΑ, αυτοχρηματοδότηση από ποσοστό ΟΔΑΠ, ευρωπαϊκά χρηματοδοτικά εργαλεία, δωρεές, χορηγίες, ΕΣΠΑ, ΕΠΑ, Ταμείο Ανάκαμψης, ΣΔΙΤ,</w:t>
            </w:r>
          </w:p>
          <w:p w14:paraId="66FABA18"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lastRenderedPageBreak/>
              <w:t xml:space="preserve">Παρεμβάσεις ψηφιακού μετασχηματισμού: </w:t>
            </w:r>
            <w:proofErr w:type="spellStart"/>
            <w:r>
              <w:rPr>
                <w:rFonts w:asciiTheme="minorHAnsi" w:hAnsiTheme="minorHAnsi" w:cstheme="minorHAnsi"/>
              </w:rPr>
              <w:t>εξορθολογισμός</w:t>
            </w:r>
            <w:proofErr w:type="spellEnd"/>
            <w:r>
              <w:rPr>
                <w:rFonts w:asciiTheme="minorHAnsi" w:hAnsiTheme="minorHAnsi" w:cstheme="minorHAnsi"/>
              </w:rPr>
              <w:t xml:space="preserve"> και εκσυγχρονισμός των δομών και της λειτουργίας του ΥΠΠΟΑ, απλοποίηση των διαδικασιών και προώθηση της ηλεκτρονικής διακυβέρνησης, συνέχιση έργου κατάρτισης Αρχαιολογικού Κτηματολογίου,  Εθνικό Αρχείο Μνημείων,</w:t>
            </w:r>
          </w:p>
          <w:p w14:paraId="3BC21112"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Οι σημαντικές δυνατότητες χρηματοδότησης έργων που σχετίζονται με την ενεργειακή αναβάθμιση, την κλιματική αλλαγή και την πολιτική προστασία, την προσβασιμότητα </w:t>
            </w:r>
            <w:proofErr w:type="spellStart"/>
            <w:r>
              <w:rPr>
                <w:rFonts w:asciiTheme="minorHAnsi" w:hAnsiTheme="minorHAnsi" w:cstheme="minorHAnsi"/>
              </w:rPr>
              <w:t>ΑμεΑ</w:t>
            </w:r>
            <w:proofErr w:type="spellEnd"/>
            <w:r>
              <w:rPr>
                <w:rFonts w:asciiTheme="minorHAnsi" w:hAnsiTheme="minorHAnsi" w:cstheme="minorHAnsi"/>
              </w:rPr>
              <w:t xml:space="preserve"> και ατόμων 65+ από διάφορες πηγές, </w:t>
            </w:r>
          </w:p>
          <w:p w14:paraId="1F15BE07"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Υλοποίηση πιλοτικών προγραμμάτων πολιτιστικής εξειδίκευσης, τόσο στο σύνολο μιας περιφέρειας, όσο και σε επιμέρους γεωγραφικές μονάδες (π.χ. νησιά),</w:t>
            </w:r>
          </w:p>
          <w:p w14:paraId="2027C7E5"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Οργάνωση δράσεων Πολιτιστικής Διπλωματίας μέσω εκθέσεων στο εξωτερικό και διαδικτυακών εφαρμογών για όσους δεν μπορούν να επισκεφθούν τη χώρα,</w:t>
            </w:r>
          </w:p>
          <w:p w14:paraId="312C5C42"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Συνέργειες και συνδυαστικές δράσεις παράλληλης ανάδειξης της πολιτιστικής κληρονομιάς με τη σύγχρονη καλλιτεχνική δημιουργία, την τοπική λαϊκή κουλτούρα και παράδοση, την άυλη πολιτισμική κληρονομιά, τα φεστιβάλ, το θρησκευτικό, τον αθλητικό-περιπατητικό και τον καταδυτικό τουρισμό, τον </w:t>
            </w:r>
            <w:proofErr w:type="spellStart"/>
            <w:r>
              <w:rPr>
                <w:rFonts w:asciiTheme="minorHAnsi" w:hAnsiTheme="minorHAnsi" w:cstheme="minorHAnsi"/>
              </w:rPr>
              <w:t>οικοτουρισμό</w:t>
            </w:r>
            <w:proofErr w:type="spellEnd"/>
            <w:r>
              <w:rPr>
                <w:rFonts w:asciiTheme="minorHAnsi" w:hAnsiTheme="minorHAnsi" w:cstheme="minorHAnsi"/>
              </w:rPr>
              <w:t xml:space="preserve">, τον </w:t>
            </w:r>
            <w:proofErr w:type="spellStart"/>
            <w:r>
              <w:rPr>
                <w:rFonts w:asciiTheme="minorHAnsi" w:hAnsiTheme="minorHAnsi" w:cstheme="minorHAnsi"/>
              </w:rPr>
              <w:t>αγροτουρισμό</w:t>
            </w:r>
            <w:proofErr w:type="spellEnd"/>
            <w:r>
              <w:rPr>
                <w:rFonts w:asciiTheme="minorHAnsi" w:hAnsiTheme="minorHAnsi" w:cstheme="minorHAnsi"/>
              </w:rPr>
              <w:t>, τη διατροφή κλπ. Ένταξη μνημείων και αρχαιολογικών χώρων σε ευρύτερα δίκτυα πολιτιστικών διαδρομών,</w:t>
            </w:r>
          </w:p>
          <w:p w14:paraId="0DDC0F12"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Συντονισμός και επιτάχυνση αρχαιολογικών εργασιών στο πλαίσιο Ειδικών Σχεδίων Χωρικής Ανάπτυξης Δημοσίων Ακινήτων - ΕΣΧΑΔΑ (Αστέρας Βουλιαγμένης, Άγιο Ιωάννη </w:t>
            </w:r>
            <w:proofErr w:type="spellStart"/>
            <w:r>
              <w:rPr>
                <w:rFonts w:asciiTheme="minorHAnsi" w:hAnsiTheme="minorHAnsi" w:cstheme="minorHAnsi"/>
              </w:rPr>
              <w:t>Νικήτης</w:t>
            </w:r>
            <w:proofErr w:type="spellEnd"/>
            <w:r>
              <w:rPr>
                <w:rFonts w:asciiTheme="minorHAnsi" w:hAnsiTheme="minorHAnsi" w:cstheme="minorHAnsi"/>
              </w:rPr>
              <w:t xml:space="preserve">, στη </w:t>
            </w:r>
            <w:proofErr w:type="spellStart"/>
            <w:r>
              <w:rPr>
                <w:rFonts w:asciiTheme="minorHAnsi" w:hAnsiTheme="minorHAnsi" w:cstheme="minorHAnsi"/>
              </w:rPr>
              <w:t>Σιθωνία</w:t>
            </w:r>
            <w:proofErr w:type="spellEnd"/>
            <w:r>
              <w:rPr>
                <w:rFonts w:asciiTheme="minorHAnsi" w:hAnsiTheme="minorHAnsi" w:cstheme="minorHAnsi"/>
              </w:rPr>
              <w:t xml:space="preserve"> Χαλκιδικής, "</w:t>
            </w:r>
            <w:proofErr w:type="spellStart"/>
            <w:r>
              <w:rPr>
                <w:rFonts w:asciiTheme="minorHAnsi" w:hAnsiTheme="minorHAnsi" w:cstheme="minorHAnsi"/>
              </w:rPr>
              <w:t>Kilada</w:t>
            </w:r>
            <w:proofErr w:type="spellEnd"/>
            <w:r>
              <w:rPr>
                <w:rFonts w:asciiTheme="minorHAnsi" w:hAnsiTheme="minorHAnsi" w:cstheme="minorHAnsi"/>
              </w:rPr>
              <w:t xml:space="preserve"> </w:t>
            </w:r>
            <w:proofErr w:type="spellStart"/>
            <w:r>
              <w:rPr>
                <w:rFonts w:asciiTheme="minorHAnsi" w:hAnsiTheme="minorHAnsi" w:cstheme="minorHAnsi"/>
              </w:rPr>
              <w:t>Hills</w:t>
            </w:r>
            <w:proofErr w:type="spellEnd"/>
            <w:r>
              <w:rPr>
                <w:rFonts w:asciiTheme="minorHAnsi" w:hAnsiTheme="minorHAnsi" w:cstheme="minorHAnsi"/>
              </w:rPr>
              <w:t xml:space="preserve">" στην </w:t>
            </w:r>
            <w:proofErr w:type="spellStart"/>
            <w:r>
              <w:rPr>
                <w:rFonts w:asciiTheme="minorHAnsi" w:hAnsiTheme="minorHAnsi" w:cstheme="minorHAnsi"/>
              </w:rPr>
              <w:t>Ερμιονίδα</w:t>
            </w:r>
            <w:proofErr w:type="spellEnd"/>
            <w:r>
              <w:rPr>
                <w:rFonts w:asciiTheme="minorHAnsi" w:hAnsiTheme="minorHAnsi" w:cstheme="minorHAnsi"/>
              </w:rPr>
              <w:t xml:space="preserve"> Αργολίδας </w:t>
            </w:r>
            <w:proofErr w:type="spellStart"/>
            <w:r>
              <w:rPr>
                <w:rFonts w:asciiTheme="minorHAnsi" w:hAnsiTheme="minorHAnsi" w:cstheme="minorHAnsi"/>
              </w:rPr>
              <w:t>κ.λπ</w:t>
            </w:r>
            <w:proofErr w:type="spellEnd"/>
            <w:r>
              <w:rPr>
                <w:rFonts w:asciiTheme="minorHAnsi" w:hAnsiTheme="minorHAnsi" w:cstheme="minorHAnsi"/>
              </w:rPr>
              <w:t>), όπως και στο Ελληνικό, Αστέρια Γλυφάδας και στον αγωγό φυσικού αερίου Ελλάδας-Βουλγαρίας,</w:t>
            </w:r>
          </w:p>
          <w:p w14:paraId="4E3AD6C4"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Εκσυγχρονισμός θεσμικού πλαισίου των Μουσείων,</w:t>
            </w:r>
          </w:p>
          <w:p w14:paraId="424E0401" w14:textId="77777777" w:rsidR="002A2422" w:rsidRDefault="003B3AD7">
            <w:pPr>
              <w:pStyle w:val="ad"/>
              <w:numPr>
                <w:ilvl w:val="0"/>
                <w:numId w:val="6"/>
              </w:numPr>
              <w:rPr>
                <w:rFonts w:asciiTheme="minorHAnsi" w:hAnsiTheme="minorHAnsi" w:cstheme="minorHAnsi"/>
              </w:rPr>
            </w:pPr>
            <w:r>
              <w:rPr>
                <w:rFonts w:asciiTheme="minorHAnsi" w:hAnsiTheme="minorHAnsi" w:cstheme="minorHAnsi"/>
              </w:rPr>
              <w:t xml:space="preserve">Η λειτουργία του </w:t>
            </w:r>
            <w:proofErr w:type="spellStart"/>
            <w:r>
              <w:rPr>
                <w:rFonts w:asciiTheme="minorHAnsi" w:hAnsiTheme="minorHAnsi" w:cstheme="minorHAnsi"/>
              </w:rPr>
              <w:t>Ακροπόλ-Ακρος</w:t>
            </w:r>
            <w:proofErr w:type="spellEnd"/>
            <w:r>
              <w:rPr>
                <w:rFonts w:asciiTheme="minorHAnsi" w:hAnsiTheme="minorHAnsi" w:cstheme="minorHAnsi"/>
              </w:rPr>
              <w:t xml:space="preserve"> στην Αθήνα ως χώρου σύγχρονου πολιτισμού και ενίσχυσης της εκπαίδευσης, ανάπτυξης δεξιοτήτων και διασύνδεσης των πολιτιστικών και </w:t>
            </w:r>
            <w:r>
              <w:rPr>
                <w:rFonts w:asciiTheme="minorHAnsi" w:hAnsiTheme="minorHAnsi" w:cstheme="minorHAnsi"/>
              </w:rPr>
              <w:lastRenderedPageBreak/>
              <w:t>δημιουργικών βιομηχανιών και των επαγγελματιών του,</w:t>
            </w:r>
          </w:p>
          <w:p w14:paraId="45FC7C4B"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Η διασύνδεση των ΠΔΒ με την πολιτιστική κληρονομιά με </w:t>
            </w:r>
            <w:proofErr w:type="spellStart"/>
            <w:r>
              <w:rPr>
                <w:rFonts w:asciiTheme="minorHAnsi" w:hAnsiTheme="minorHAnsi" w:cstheme="minorHAnsi"/>
              </w:rPr>
              <w:t>στοχευμένες</w:t>
            </w:r>
            <w:proofErr w:type="spellEnd"/>
            <w:r>
              <w:rPr>
                <w:rFonts w:asciiTheme="minorHAnsi" w:hAnsiTheme="minorHAnsi" w:cstheme="minorHAnsi"/>
              </w:rPr>
              <w:t xml:space="preserve"> δράσεις διασύνδεσης και αξιοποίησης των ψηφιακών δυνατοτήτων, για τη δημιουργία υψηλής προστιθέμενης αξίας και με άλλους νευραλγικούς οικονομικούς τομείς της χώρας,</w:t>
            </w:r>
          </w:p>
          <w:p w14:paraId="02393299" w14:textId="77777777" w:rsidR="002A2422" w:rsidRDefault="003B3AD7">
            <w:pPr>
              <w:numPr>
                <w:ilvl w:val="0"/>
                <w:numId w:val="6"/>
              </w:numPr>
              <w:spacing w:before="20" w:after="20" w:line="259" w:lineRule="auto"/>
              <w:rPr>
                <w:rFonts w:asciiTheme="minorHAnsi" w:hAnsiTheme="minorHAnsi" w:cstheme="minorHAnsi"/>
              </w:rPr>
            </w:pPr>
            <w:r>
              <w:rPr>
                <w:rFonts w:asciiTheme="minorHAnsi" w:eastAsia="Times New Roman" w:hAnsiTheme="minorHAnsi" w:cstheme="minorHAnsi"/>
                <w:color w:val="202124"/>
              </w:rPr>
              <w:t xml:space="preserve">Ανασυγκρότηση του κτήματος </w:t>
            </w:r>
            <w:proofErr w:type="spellStart"/>
            <w:r>
              <w:rPr>
                <w:rFonts w:asciiTheme="minorHAnsi" w:eastAsia="Times New Roman" w:hAnsiTheme="minorHAnsi" w:cstheme="minorHAnsi"/>
                <w:color w:val="202124"/>
              </w:rPr>
              <w:t>Τατοίου</w:t>
            </w:r>
            <w:proofErr w:type="spellEnd"/>
            <w:r>
              <w:rPr>
                <w:rFonts w:asciiTheme="minorHAnsi" w:eastAsia="Times New Roman" w:hAnsiTheme="minorHAnsi" w:cstheme="minorHAnsi"/>
                <w:color w:val="202124"/>
              </w:rPr>
              <w:t xml:space="preserve"> ως μέρος ενός ολοκληρωμένου, βιώσιμου και ολοκληρωμένου σχεδίου για τη δημιουργία ενός νέου πόλου πολλαπλών δραστηριοτήτων μέσα σε ένα φυσικό απόθεμα,</w:t>
            </w:r>
            <w:r>
              <w:rPr>
                <w:rFonts w:asciiTheme="minorHAnsi" w:hAnsiTheme="minorHAnsi" w:cstheme="minorHAnsi"/>
              </w:rPr>
              <w:t xml:space="preserve"> </w:t>
            </w:r>
          </w:p>
          <w:p w14:paraId="6756D9E4"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Δημιουργία </w:t>
            </w:r>
            <w:r>
              <w:rPr>
                <w:rFonts w:asciiTheme="minorHAnsi" w:eastAsia="Times New Roman" w:hAnsiTheme="minorHAnsi" w:cstheme="minorHAnsi"/>
                <w:color w:val="202124"/>
              </w:rPr>
              <w:t>Θεματικών πολιτιστικών Διαδρομών κατά μήκος σύγχρονων αυτοκινητόδρομων που διασχίζουν όλη τη χώρα και αλληλοσυνδέονται περιοχές, πόλεις και αγροτικές περιοχές που είναι πλούσιες με αρχαία και ιστορικά μνημεία και μνημεία, σύγχρονα πολιτιστικά και τουριστικά αξιοθέατα και ειδυλλιακά φυσικά τοπία ,</w:t>
            </w:r>
            <w:r>
              <w:rPr>
                <w:rFonts w:asciiTheme="minorHAnsi" w:hAnsiTheme="minorHAnsi" w:cstheme="minorHAnsi"/>
              </w:rPr>
              <w:t xml:space="preserve"> </w:t>
            </w:r>
          </w:p>
          <w:p w14:paraId="09F1F685"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color w:val="202124"/>
                <w:shd w:val="clear" w:color="auto" w:fill="F8F9FA"/>
              </w:rPr>
              <w:t>Προστασία σημαντικών  μνημείων πολιτιστικής κληρονομιάς και μνημείων της UNESCO</w:t>
            </w:r>
            <w:r>
              <w:rPr>
                <w:rFonts w:asciiTheme="minorHAnsi" w:eastAsia="Times New Roman" w:hAnsiTheme="minorHAnsi" w:cstheme="minorHAnsi"/>
                <w:color w:val="202124"/>
              </w:rPr>
              <w:t xml:space="preserve"> με την υλοποίηση έργων και υποδομών για την πρόληψη συγκεκριμένων κινδύνων που σχετίζονται με την κλιματική αλλαγή και τη σύνταξη ενός οδικού χάρτη για την κατανόηση και καταγραφή των επιπτώσεων της κλιματικής αλλαγής στα ελληνικά μνημεία,</w:t>
            </w:r>
          </w:p>
          <w:p w14:paraId="228B0C02" w14:textId="77777777" w:rsidR="002A2422" w:rsidRDefault="003B3AD7">
            <w:pPr>
              <w:numPr>
                <w:ilvl w:val="0"/>
                <w:numId w:val="6"/>
              </w:numPr>
              <w:spacing w:before="20" w:after="20" w:line="259" w:lineRule="auto"/>
              <w:rPr>
                <w:rFonts w:asciiTheme="minorHAnsi" w:hAnsiTheme="minorHAnsi" w:cstheme="minorHAnsi"/>
              </w:rPr>
            </w:pPr>
            <w:r>
              <w:rPr>
                <w:rFonts w:asciiTheme="minorHAnsi" w:eastAsia="Times New Roman" w:hAnsiTheme="minorHAnsi" w:cstheme="minorHAnsi"/>
                <w:color w:val="202124"/>
              </w:rPr>
              <w:t>Ανάπτυξη σχετικών προγραμμάτων εκπαίδευσης και ανάπτυξης δεξιοτήτων όσον αφορά την επιχειρηματικότητα, την πολιτιστική παραγωγή, και τη χειροτεχνία,</w:t>
            </w:r>
          </w:p>
          <w:p w14:paraId="4B586B56" w14:textId="77777777" w:rsidR="002A2422" w:rsidRDefault="003B3AD7">
            <w:pPr>
              <w:numPr>
                <w:ilvl w:val="0"/>
                <w:numId w:val="6"/>
              </w:numPr>
              <w:spacing w:before="20" w:after="20" w:line="259" w:lineRule="auto"/>
              <w:rPr>
                <w:rFonts w:asciiTheme="minorHAnsi" w:hAnsiTheme="minorHAnsi" w:cstheme="minorHAnsi"/>
              </w:rPr>
            </w:pPr>
            <w:r>
              <w:rPr>
                <w:rFonts w:asciiTheme="minorHAnsi" w:eastAsia="Times New Roman" w:hAnsiTheme="minorHAnsi" w:cstheme="minorHAnsi"/>
                <w:color w:val="202124"/>
              </w:rPr>
              <w:t>Αξιοποίηση αρχαιολογικών χώρων και μνημείων ως κινητήρια δύναμη της οικονομικής και πολιτιστικής ανάπτυξης, φιλοξενώντας σύγχρονες πολιτιστικές παραγωγές τα επόμενα χρόνια.</w:t>
            </w:r>
          </w:p>
          <w:p w14:paraId="1A1AAE71" w14:textId="77777777" w:rsidR="002A2422" w:rsidRDefault="003B3AD7">
            <w:pPr>
              <w:numPr>
                <w:ilvl w:val="0"/>
                <w:numId w:val="6"/>
              </w:numPr>
              <w:spacing w:before="20" w:after="20" w:line="259" w:lineRule="auto"/>
              <w:rPr>
                <w:rFonts w:asciiTheme="minorHAnsi" w:hAnsiTheme="minorHAnsi" w:cstheme="minorHAnsi"/>
              </w:rPr>
            </w:pPr>
            <w:r>
              <w:rPr>
                <w:rFonts w:asciiTheme="minorHAnsi" w:eastAsia="Times New Roman" w:hAnsiTheme="minorHAnsi" w:cstheme="minorHAnsi"/>
                <w:color w:val="202124"/>
              </w:rPr>
              <w:t xml:space="preserve">Επιχορηγήσεις για την κινητικότητα Ελλήνων καλλιτεχνών στο εξωτερικό και την εκπροσώπηση της χώρας σε μεγάλα πολιτιστικά φόρουμ από τα οποία απουσιάζει ή </w:t>
            </w:r>
            <w:proofErr w:type="spellStart"/>
            <w:r>
              <w:rPr>
                <w:rFonts w:asciiTheme="minorHAnsi" w:eastAsia="Times New Roman" w:hAnsiTheme="minorHAnsi" w:cstheme="minorHAnsi"/>
                <w:color w:val="202124"/>
              </w:rPr>
              <w:t>υποεκπροσωπείται</w:t>
            </w:r>
            <w:proofErr w:type="spellEnd"/>
            <w:r>
              <w:rPr>
                <w:rFonts w:asciiTheme="minorHAnsi" w:eastAsia="Times New Roman" w:hAnsiTheme="minorHAnsi" w:cstheme="minorHAnsi"/>
                <w:color w:val="202124"/>
              </w:rPr>
              <w:t xml:space="preserve"> (εκθέσεις βιβλίων, μουσικά φεστιβάλ, φεστιβάλ ταινιών και βραβεία, συνέδρια σχεδιασμού, εμπορικές εκθέσεις κ.λπ.)</w:t>
            </w:r>
          </w:p>
          <w:p w14:paraId="0CA2E39F"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lastRenderedPageBreak/>
              <w:t xml:space="preserve">Πρόγραμμα </w:t>
            </w:r>
            <w:r>
              <w:rPr>
                <w:rFonts w:asciiTheme="minorHAnsi" w:eastAsia="Times New Roman" w:hAnsiTheme="minorHAnsi" w:cstheme="minorHAnsi"/>
                <w:color w:val="202124"/>
              </w:rPr>
              <w:t>επιχορήγησης μετάφρασης για την ενθάρρυνση της διάδοσης της ελληνικής λογοτεχνίας στο εξωτερικό,</w:t>
            </w:r>
          </w:p>
          <w:p w14:paraId="6002F193" w14:textId="77777777" w:rsidR="002A2422" w:rsidRDefault="003B3AD7">
            <w:pPr>
              <w:numPr>
                <w:ilvl w:val="0"/>
                <w:numId w:val="6"/>
              </w:numPr>
              <w:spacing w:before="20" w:after="20" w:line="259" w:lineRule="auto"/>
              <w:rPr>
                <w:rFonts w:asciiTheme="minorHAnsi" w:hAnsiTheme="minorHAnsi" w:cstheme="minorHAnsi"/>
              </w:rPr>
            </w:pPr>
            <w:r>
              <w:rPr>
                <w:rFonts w:asciiTheme="minorHAnsi" w:eastAsia="Times New Roman" w:hAnsiTheme="minorHAnsi" w:cstheme="minorHAnsi"/>
                <w:color w:val="202124"/>
              </w:rPr>
              <w:t>Ανάπτυξη ψηφιακού περιεχομένου και προγραμμάτων που απευθύνονται σε άτομα άνω των 65 ετών και σε άτομα με ειδικές ανάγκες,</w:t>
            </w:r>
          </w:p>
          <w:p w14:paraId="6BFA71B0"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Αναβάθμιση της καλλιτεχνικής εκπαίδευσης. </w:t>
            </w:r>
          </w:p>
          <w:p w14:paraId="01E84C40"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Ενεργειακή αναβάθμιση των αθλητικών υποδομών στην κατεύθυνση της πράσινης οικονομίας</w:t>
            </w:r>
          </w:p>
          <w:p w14:paraId="47C1E886"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Ανέγερση νέων αθλητικών εγκαταστάσεων</w:t>
            </w:r>
          </w:p>
          <w:p w14:paraId="75023C23"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Συντήρηση και επισκευές σε υπάρχουσες αθλητικές δομές</w:t>
            </w:r>
          </w:p>
          <w:p w14:paraId="71CA0B4A"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Ανάπτυξη τεχνικής βοήθειας</w:t>
            </w:r>
          </w:p>
          <w:p w14:paraId="6F200A65"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Εκπόνηση καινοτόμων μελετών για νέες αθλητικές υποδομές</w:t>
            </w:r>
          </w:p>
          <w:p w14:paraId="3B3BAFEA"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Εκπόνηση μελετών και έργων στατικής επάρκειας και πυροπροστασίας αθλητικών εγκαταστάσεων.</w:t>
            </w:r>
          </w:p>
          <w:p w14:paraId="7BD87B25"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Αθλητικές εγκαταστάσεις </w:t>
            </w:r>
            <w:proofErr w:type="spellStart"/>
            <w:r>
              <w:rPr>
                <w:rFonts w:asciiTheme="minorHAnsi" w:hAnsiTheme="minorHAnsi" w:cstheme="minorHAnsi"/>
              </w:rPr>
              <w:t>προσβάσιμες</w:t>
            </w:r>
            <w:proofErr w:type="spellEnd"/>
            <w:r>
              <w:rPr>
                <w:rFonts w:asciiTheme="minorHAnsi" w:hAnsiTheme="minorHAnsi" w:cstheme="minorHAnsi"/>
              </w:rPr>
              <w:t xml:space="preserve"> σε </w:t>
            </w:r>
            <w:proofErr w:type="spellStart"/>
            <w:r>
              <w:rPr>
                <w:rFonts w:asciiTheme="minorHAnsi" w:hAnsiTheme="minorHAnsi" w:cstheme="minorHAnsi"/>
              </w:rPr>
              <w:t>ΑμΕΑ</w:t>
            </w:r>
            <w:proofErr w:type="spellEnd"/>
          </w:p>
          <w:p w14:paraId="3AF94429" w14:textId="77777777" w:rsidR="002A2422" w:rsidRDefault="003B3AD7">
            <w:pPr>
              <w:numPr>
                <w:ilvl w:val="0"/>
                <w:numId w:val="6"/>
              </w:numPr>
              <w:spacing w:before="20" w:after="20" w:line="259" w:lineRule="auto"/>
              <w:rPr>
                <w:rFonts w:asciiTheme="minorHAnsi" w:hAnsiTheme="minorHAnsi" w:cstheme="minorHAnsi"/>
              </w:rPr>
            </w:pPr>
            <w:proofErr w:type="spellStart"/>
            <w:r>
              <w:rPr>
                <w:rFonts w:asciiTheme="minorHAnsi" w:hAnsiTheme="minorHAnsi" w:cstheme="minorHAnsi"/>
              </w:rPr>
              <w:t>Ψηφιοποίηση</w:t>
            </w:r>
            <w:proofErr w:type="spellEnd"/>
            <w:r>
              <w:rPr>
                <w:rFonts w:asciiTheme="minorHAnsi" w:hAnsiTheme="minorHAnsi" w:cstheme="minorHAnsi"/>
              </w:rPr>
              <w:t xml:space="preserve"> των αθλητικών εγκαταστάσεων</w:t>
            </w:r>
          </w:p>
          <w:p w14:paraId="07B8AD58"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Δημιουργία αθλητικών υποδομών, ικανών να φιλοξενήσουν αθλητικές διοργανώσεις διεθνούς εμβέλειας</w:t>
            </w:r>
          </w:p>
          <w:p w14:paraId="52DEB148"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Δημιουργία αθλητικών υποδομών, ικανών να στηρίξουν εναλλακτικές αθλητικές δραστηριότητες </w:t>
            </w:r>
          </w:p>
          <w:p w14:paraId="4443E65B"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Υλοποίηση των </w:t>
            </w:r>
            <w:r>
              <w:rPr>
                <w:rFonts w:asciiTheme="minorHAnsi" w:hAnsiTheme="minorHAnsi" w:cstheme="minorHAnsi"/>
                <w:lang w:val="en-US"/>
              </w:rPr>
              <w:t>masterplan</w:t>
            </w:r>
            <w:r>
              <w:rPr>
                <w:rFonts w:asciiTheme="minorHAnsi" w:hAnsiTheme="minorHAnsi" w:cstheme="minorHAnsi"/>
              </w:rPr>
              <w:t xml:space="preserve"> αναβάθμισης και αξιοποίησης των ΝΠΙΔ καθώς και των Εθνικών Αθλητικών Κέντρων που εποπτεύονται από την Γ.Γ.Α.</w:t>
            </w:r>
          </w:p>
          <w:p w14:paraId="7BE90AAB"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Κατασκευή του πρώτου </w:t>
            </w:r>
            <w:proofErr w:type="spellStart"/>
            <w:r>
              <w:rPr>
                <w:rFonts w:asciiTheme="minorHAnsi" w:hAnsiTheme="minorHAnsi" w:cstheme="minorHAnsi"/>
              </w:rPr>
              <w:t>Παραολυμπιακού</w:t>
            </w:r>
            <w:proofErr w:type="spellEnd"/>
            <w:r>
              <w:rPr>
                <w:rFonts w:asciiTheme="minorHAnsi" w:hAnsiTheme="minorHAnsi" w:cstheme="minorHAnsi"/>
              </w:rPr>
              <w:t xml:space="preserve"> Αθλητικού Κέντρου</w:t>
            </w:r>
          </w:p>
          <w:p w14:paraId="364B4B9E"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Αύξηση και ενίσχυση προγραμμάτων Άθλησης για Όλους</w:t>
            </w:r>
          </w:p>
          <w:p w14:paraId="01A0ABDE"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Δημιουργία Ψηφιακών Μητρώων για τους αθλητές, τους προπονητές, τους εθελοντές, τις αθλητικές εγκαταστάσεις και τις αθλητικές διοργανώσεις</w:t>
            </w:r>
          </w:p>
          <w:p w14:paraId="0BEE115C"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Ενίσχυση και ανάπτυξη της έρευνας στον αθλητισμό, όπως και της </w:t>
            </w:r>
            <w:proofErr w:type="spellStart"/>
            <w:r>
              <w:rPr>
                <w:rFonts w:asciiTheme="minorHAnsi" w:hAnsiTheme="minorHAnsi" w:cstheme="minorHAnsi"/>
              </w:rPr>
              <w:t>αθλητιατρικής</w:t>
            </w:r>
            <w:proofErr w:type="spellEnd"/>
            <w:r>
              <w:rPr>
                <w:rFonts w:asciiTheme="minorHAnsi" w:hAnsiTheme="minorHAnsi" w:cstheme="minorHAnsi"/>
              </w:rPr>
              <w:t>.</w:t>
            </w:r>
          </w:p>
          <w:p w14:paraId="471CA242"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Προώθηση της αθλητικής δραστηριότητας στον γενικό πληθυσμό, με την ενίσχυση προγραμμάτων μαζικού αθλητισμού</w:t>
            </w:r>
          </w:p>
          <w:p w14:paraId="308986EC"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Ενίσχυση του αθλητικού εθελοντισμού</w:t>
            </w:r>
          </w:p>
          <w:p w14:paraId="2709CBBA"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lastRenderedPageBreak/>
              <w:t>Καλλιέργεια του ολυμπιακού ιδεώδους</w:t>
            </w:r>
          </w:p>
          <w:p w14:paraId="3DD956B1"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Επιμόρφωση της κοινωνίας σχετικά με την καταπολέμηση της </w:t>
            </w:r>
            <w:proofErr w:type="spellStart"/>
            <w:r>
              <w:rPr>
                <w:rFonts w:asciiTheme="minorHAnsi" w:hAnsiTheme="minorHAnsi" w:cstheme="minorHAnsi"/>
              </w:rPr>
              <w:t>φαρμακοδιέγερσης</w:t>
            </w:r>
            <w:proofErr w:type="spellEnd"/>
            <w:r>
              <w:rPr>
                <w:rFonts w:asciiTheme="minorHAnsi" w:hAnsiTheme="minorHAnsi" w:cstheme="minorHAnsi"/>
              </w:rPr>
              <w:t>, της βίας και των χειραγωγημένων αγώνων στον αθλητισμό</w:t>
            </w:r>
          </w:p>
          <w:p w14:paraId="55DFA003"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Νομοθετική ρύθμιση που θα παρέχει κίνητρα στις ΠΑΕ για την αναγνώριση των Λεσχών Φιλάθλων για την καταπολέμηση της αθλητικής βίας,</w:t>
            </w:r>
          </w:p>
          <w:p w14:paraId="7F0A7983"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Νομοθετικές ρυθμίσεις σχετικά με το καθεστώς των προπονητών που απασχολούν τα αθλητικά σωματεία και την εφαρμογή των κατευθύνσεων της ολιστικής μελέτης που συντάχθηκε από την FIFA/UEFA,</w:t>
            </w:r>
          </w:p>
          <w:p w14:paraId="4FE4A268"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Ψηφιακές πλατφόρμες για την καταγραφή αθλητικών υποδομών, του συνόλου των αθλητικών φορέων και των δραστηριοτήτων τους, δημιουργία μητρώου προπονητών, εφαρμογή προγράμματος αξιολόγησης Ομοσπονδιών,</w:t>
            </w:r>
          </w:p>
          <w:p w14:paraId="11374787"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Εκσυγχρονισμός του συνόλου των αθλητικών εγκαταστάσεων με την προσβασιμότητα των αθλητικών εγκαταστάσεων και την κατασκευή δομών για </w:t>
            </w:r>
            <w:proofErr w:type="spellStart"/>
            <w:r>
              <w:rPr>
                <w:rFonts w:asciiTheme="minorHAnsi" w:hAnsiTheme="minorHAnsi" w:cstheme="minorHAnsi"/>
              </w:rPr>
              <w:t>ΑμΕΑ</w:t>
            </w:r>
            <w:proofErr w:type="spellEnd"/>
            <w:r>
              <w:rPr>
                <w:rFonts w:asciiTheme="minorHAnsi" w:hAnsiTheme="minorHAnsi" w:cstheme="minorHAnsi"/>
              </w:rPr>
              <w:t xml:space="preserve">, την προώθηση των απαιτούμενων κριτηρίων για την </w:t>
            </w:r>
            <w:proofErr w:type="spellStart"/>
            <w:r>
              <w:rPr>
                <w:rFonts w:asciiTheme="minorHAnsi" w:hAnsiTheme="minorHAnsi" w:cstheme="minorHAnsi"/>
              </w:rPr>
              <w:t>αδειοδότησή</w:t>
            </w:r>
            <w:proofErr w:type="spellEnd"/>
            <w:r>
              <w:rPr>
                <w:rFonts w:asciiTheme="minorHAnsi" w:hAnsiTheme="minorHAnsi" w:cstheme="minorHAnsi"/>
              </w:rPr>
              <w:t xml:space="preserve"> τους, αλλά και την ενεργειακή τους αναβάθμιση,</w:t>
            </w:r>
          </w:p>
          <w:p w14:paraId="10BFAE0F"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Υλοποίηση δράσεων ενημέρωσης και προώθησης του αθλητισμού στο γενικό πληθυσμό, με έμφαση στα παιδιά και τους εφήβους,</w:t>
            </w:r>
          </w:p>
          <w:p w14:paraId="248528C7" w14:textId="77777777" w:rsidR="002A2422" w:rsidRDefault="003B3AD7">
            <w:pPr>
              <w:pStyle w:val="ad"/>
              <w:numPr>
                <w:ilvl w:val="0"/>
                <w:numId w:val="6"/>
              </w:numPr>
            </w:pPr>
            <w:r>
              <w:rPr>
                <w:rFonts w:asciiTheme="minorHAnsi" w:hAnsiTheme="minorHAnsi" w:cstheme="minorHAnsi"/>
              </w:rPr>
              <w:t>Διεκδίκηση διεθνών διοργανώσεων και σύναψη συμφωνιών συνεργασίας στον τομέα του αθλητισμού με χώρες του εξωτερικού</w:t>
            </w:r>
          </w:p>
        </w:tc>
        <w:tc>
          <w:tcPr>
            <w:tcW w:w="7087" w:type="dxa"/>
            <w:shd w:val="clear" w:color="auto" w:fill="auto"/>
          </w:tcPr>
          <w:p w14:paraId="237A1E08"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lastRenderedPageBreak/>
              <w:t xml:space="preserve">Κίνδυνος υποβάθμισης της ανάγκης διασύνδεσης του τομέα Πολιτισμού με την ερευνητική Κοινότητα και τα ΑΕΙ στο πλαίσιο της χαμηλής </w:t>
            </w:r>
            <w:proofErr w:type="spellStart"/>
            <w:r>
              <w:rPr>
                <w:rFonts w:asciiTheme="minorHAnsi" w:hAnsiTheme="minorHAnsi" w:cstheme="minorHAnsi"/>
              </w:rPr>
              <w:t>προτεραιοποίησης</w:t>
            </w:r>
            <w:proofErr w:type="spellEnd"/>
            <w:r>
              <w:rPr>
                <w:rFonts w:asciiTheme="minorHAnsi" w:hAnsiTheme="minorHAnsi" w:cstheme="minorHAnsi"/>
              </w:rPr>
              <w:t xml:space="preserve"> για τις ανθρωπιστικές και κοινωνικές σπουδές,</w:t>
            </w:r>
          </w:p>
          <w:p w14:paraId="1EDED42D"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Πολυπλοκότητα στην υλοποίηση έργων ψηφιακού μετασχηματισμού,</w:t>
            </w:r>
          </w:p>
          <w:p w14:paraId="657E8FD2"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lastRenderedPageBreak/>
              <w:t>Η κλιματική αλλαγή και τα έντονα καιρικά και φυσικά φαινόμενα και οι επερχόμενες συνέπειες,</w:t>
            </w:r>
          </w:p>
          <w:p w14:paraId="43606473"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Η περαιτέρω υποβάθμιση των χώρων ιστορικού ενδιαφέροντος και των αρχαιολογικών χώρων που δεν έχουν ακόμα αναδειχθεί ή υπολειτουργούν,</w:t>
            </w:r>
          </w:p>
          <w:p w14:paraId="63FA5E9A"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Η έλλειψη ανάδειξης της πολιτιστικής κληρονομιάς και της σύγχρονης δημιουργίας μέσω της τουριστικής ανάπτυξης,</w:t>
            </w:r>
          </w:p>
          <w:p w14:paraId="170C1716"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Αποσπασματικές δράσεις που δεν ολοκληρώνουν την προσπάθεια δημιουργίας προϊόντων εναλλακτικού τουρισμού,</w:t>
            </w:r>
          </w:p>
          <w:p w14:paraId="45DE5200"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Υπαρκτός κίνδυνος μη ανταπόκρισης της ΠΠΕ Ελευσίνας στις απαιτήσεις της διοργάνωσης λόγω καθυστερήσεων, </w:t>
            </w:r>
          </w:p>
          <w:p w14:paraId="7CFCADE0"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Πολυπλοκότητα στην εκτέλεση των εργασιών υπόγειας διασύνδεσης του ΕΑΜ με το </w:t>
            </w:r>
            <w:proofErr w:type="spellStart"/>
            <w:r>
              <w:rPr>
                <w:rFonts w:asciiTheme="minorHAnsi" w:hAnsiTheme="minorHAnsi" w:cstheme="minorHAnsi"/>
              </w:rPr>
              <w:t>Ακροπόλ</w:t>
            </w:r>
            <w:proofErr w:type="spellEnd"/>
            <w:r>
              <w:rPr>
                <w:rFonts w:asciiTheme="minorHAnsi" w:hAnsiTheme="minorHAnsi" w:cstheme="minorHAnsi"/>
              </w:rPr>
              <w:t>,</w:t>
            </w:r>
          </w:p>
          <w:p w14:paraId="04A76F74"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Οικονομική ύφεση λόγω των επιπτώσεων της πανδημίας </w:t>
            </w:r>
            <w:r>
              <w:rPr>
                <w:rFonts w:asciiTheme="minorHAnsi" w:hAnsiTheme="minorHAnsi" w:cstheme="minorHAnsi"/>
                <w:lang w:val="en-US"/>
              </w:rPr>
              <w:t>Covid</w:t>
            </w:r>
            <w:r>
              <w:rPr>
                <w:rFonts w:asciiTheme="minorHAnsi" w:hAnsiTheme="minorHAnsi" w:cstheme="minorHAnsi"/>
              </w:rPr>
              <w:t>-19,</w:t>
            </w:r>
          </w:p>
          <w:p w14:paraId="266B5908"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Σημαντικοί περιορισμοί στις πολιτιστικές διοργανώσεις και μείωση εσόδων των Μουσείων και πολιτιστικών κέντρων, λόγω της πανδημίας του </w:t>
            </w:r>
            <w:proofErr w:type="spellStart"/>
            <w:r>
              <w:rPr>
                <w:rFonts w:asciiTheme="minorHAnsi" w:hAnsiTheme="minorHAnsi" w:cstheme="minorHAnsi"/>
              </w:rPr>
              <w:t>CοV</w:t>
            </w:r>
            <w:r>
              <w:rPr>
                <w:rFonts w:asciiTheme="minorHAnsi" w:hAnsiTheme="minorHAnsi" w:cstheme="minorHAnsi"/>
                <w:lang w:val="en-US"/>
              </w:rPr>
              <w:t>i</w:t>
            </w:r>
            <w:proofErr w:type="spellEnd"/>
            <w:r>
              <w:rPr>
                <w:rFonts w:asciiTheme="minorHAnsi" w:hAnsiTheme="minorHAnsi" w:cstheme="minorHAnsi"/>
              </w:rPr>
              <w:t>D-19,</w:t>
            </w:r>
          </w:p>
          <w:p w14:paraId="7F4361F7"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Το πλήγμα στην ΠΔΒ από την πανδημία </w:t>
            </w:r>
            <w:proofErr w:type="spellStart"/>
            <w:r>
              <w:rPr>
                <w:rFonts w:asciiTheme="minorHAnsi" w:hAnsiTheme="minorHAnsi" w:cstheme="minorHAnsi"/>
              </w:rPr>
              <w:t>CοV</w:t>
            </w:r>
            <w:r>
              <w:rPr>
                <w:rFonts w:asciiTheme="minorHAnsi" w:hAnsiTheme="minorHAnsi" w:cstheme="minorHAnsi"/>
                <w:lang w:val="en-US"/>
              </w:rPr>
              <w:t>i</w:t>
            </w:r>
            <w:proofErr w:type="spellEnd"/>
            <w:r>
              <w:rPr>
                <w:rFonts w:asciiTheme="minorHAnsi" w:hAnsiTheme="minorHAnsi" w:cstheme="minorHAnsi"/>
              </w:rPr>
              <w:t>D-19 και ο κίνδυνος συνέχισης των αρνητικών επιπτώσεων για το επόμενο χρονικό διάστημα,</w:t>
            </w:r>
          </w:p>
          <w:p w14:paraId="57124DAB"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Η συνέχιση παρωχημένων και αποσπασματικών πρακτικών προώθησης  και σύνδεσης του εθνικού εμπορικού σήματος με την πολιτιστική κληρονομιά και τον σύγχρονο ελληνικό πολιτισμό. </w:t>
            </w:r>
          </w:p>
          <w:p w14:paraId="743A8C95"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 xml:space="preserve">Η παρατεταμένη αδράνεια στις οργανωμένες αθλητικές δραστηριότητες λόγω της πανδημίας του </w:t>
            </w:r>
            <w:proofErr w:type="spellStart"/>
            <w:r>
              <w:rPr>
                <w:rFonts w:asciiTheme="minorHAnsi" w:hAnsiTheme="minorHAnsi" w:cstheme="minorHAnsi"/>
                <w:lang w:val="en-US"/>
              </w:rPr>
              <w:t>CoViD</w:t>
            </w:r>
            <w:proofErr w:type="spellEnd"/>
            <w:r>
              <w:rPr>
                <w:rFonts w:asciiTheme="minorHAnsi" w:hAnsiTheme="minorHAnsi" w:cstheme="minorHAnsi"/>
              </w:rPr>
              <w:t>-19</w:t>
            </w:r>
          </w:p>
          <w:p w14:paraId="05302CD0" w14:textId="77777777" w:rsidR="002A2422" w:rsidRDefault="003B3AD7">
            <w:pPr>
              <w:numPr>
                <w:ilvl w:val="0"/>
                <w:numId w:val="6"/>
              </w:numPr>
              <w:spacing w:before="20" w:after="20" w:line="259" w:lineRule="auto"/>
              <w:rPr>
                <w:rFonts w:asciiTheme="minorHAnsi" w:hAnsiTheme="minorHAnsi" w:cstheme="minorHAnsi"/>
              </w:rPr>
            </w:pPr>
            <w:r>
              <w:rPr>
                <w:rFonts w:asciiTheme="minorHAnsi" w:hAnsiTheme="minorHAnsi" w:cstheme="minorHAnsi"/>
              </w:rPr>
              <w:t>Βεβαρημένο ενεργειακό αποτύπωμα παλαιών αθλητικών εγκαταστάσεων</w:t>
            </w:r>
          </w:p>
        </w:tc>
      </w:tr>
    </w:tbl>
    <w:p w14:paraId="75D6CFBF" w14:textId="77777777" w:rsidR="002A2422" w:rsidRDefault="002A2422">
      <w:pPr>
        <w:spacing w:before="60" w:after="60"/>
        <w:rPr>
          <w:rFonts w:asciiTheme="minorHAnsi" w:hAnsiTheme="minorHAnsi" w:cstheme="minorHAnsi"/>
        </w:rPr>
      </w:pPr>
    </w:p>
    <w:p w14:paraId="4CECDBBB" w14:textId="77777777" w:rsidR="002A2422" w:rsidRDefault="002A2422">
      <w:pPr>
        <w:spacing w:before="60" w:after="60"/>
        <w:rPr>
          <w:rFonts w:asciiTheme="minorHAnsi" w:hAnsiTheme="minorHAnsi" w:cstheme="minorHAnsi"/>
        </w:rPr>
      </w:pPr>
    </w:p>
    <w:p w14:paraId="35B66CD3" w14:textId="77777777" w:rsidR="002A2422" w:rsidRDefault="002A2422">
      <w:pPr>
        <w:spacing w:before="60" w:after="60"/>
      </w:pPr>
    </w:p>
    <w:p w14:paraId="3279B6F7" w14:textId="77777777" w:rsidR="002A2422" w:rsidRDefault="002A2422">
      <w:pPr>
        <w:spacing w:before="60" w:after="60"/>
      </w:pPr>
    </w:p>
    <w:p w14:paraId="026CF32E" w14:textId="77777777" w:rsidR="002A2422" w:rsidRDefault="002A2422">
      <w:pPr>
        <w:spacing w:before="60" w:after="60"/>
      </w:pPr>
    </w:p>
    <w:p w14:paraId="28B9F032" w14:textId="77777777" w:rsidR="002A2422" w:rsidRDefault="002A2422">
      <w:pPr>
        <w:spacing w:before="60" w:after="60"/>
      </w:pPr>
    </w:p>
    <w:p w14:paraId="004088C2" w14:textId="77777777" w:rsidR="002A2422" w:rsidRDefault="002A2422">
      <w:pPr>
        <w:spacing w:before="60" w:after="60"/>
      </w:pPr>
    </w:p>
    <w:p w14:paraId="46CB35BF" w14:textId="77777777" w:rsidR="002A2422" w:rsidRDefault="003B3AD7">
      <w:pPr>
        <w:pStyle w:val="2"/>
      </w:pPr>
      <w:bookmarkStart w:id="32" w:name="_Toc68011192"/>
      <w:bookmarkStart w:id="33" w:name="_Toc73665476"/>
      <w:r>
        <w:lastRenderedPageBreak/>
        <w:t>ΑΠΟΤΙΜΗΣΗ  ΑΝΑΜΕΝΟΜΕΝΩΝ ΑΠΟΤΕΛΕΣΜΑΤΩΝ ΑΠΟ ΗΔΗ ΥΛΟΠΟΙΟΥΜΕΝΑ ΚΑΙ ΣΕ ΕΞΕΛΙΞΗ ΕΡΓΑ (ΕΘΝΙΚΟΥ &amp; ΣΥΓΧΡΗΜΑΤΟΔΟΤΟΥΜΕΝΟΥ ΣΚΕΛΟΥΣ) ΑΝΑ ΤΟΜΕΑ ΠΑΡΕΜΒΑΣΗΣ</w:t>
      </w:r>
      <w:bookmarkEnd w:id="32"/>
      <w:bookmarkEnd w:id="33"/>
    </w:p>
    <w:p w14:paraId="7CD9ADDC" w14:textId="77777777" w:rsidR="002A2422" w:rsidRDefault="002A2422">
      <w:pPr>
        <w:rPr>
          <w:lang w:eastAsia="en-US"/>
        </w:rPr>
      </w:pPr>
    </w:p>
    <w:p w14:paraId="45EFD878"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Συνοπτικά, οι Άξονες Πολιτικής του ΥΠΠΟΑ έχουν ως εξής:</w:t>
      </w:r>
    </w:p>
    <w:p w14:paraId="1D503DB3" w14:textId="77777777" w:rsidR="002A2422" w:rsidRDefault="003B3AD7">
      <w:pPr>
        <w:pStyle w:val="ad"/>
        <w:numPr>
          <w:ilvl w:val="0"/>
          <w:numId w:val="7"/>
        </w:numPr>
        <w:suppressAutoHyphens/>
        <w:autoSpaceDN w:val="0"/>
        <w:spacing w:before="60" w:after="60"/>
        <w:contextualSpacing w:val="0"/>
        <w:textAlignment w:val="baseline"/>
        <w:rPr>
          <w:rFonts w:asciiTheme="minorHAnsi" w:hAnsiTheme="minorHAnsi" w:cstheme="minorHAnsi"/>
          <w:sz w:val="24"/>
          <w:szCs w:val="24"/>
        </w:rPr>
      </w:pPr>
      <w:r>
        <w:rPr>
          <w:rFonts w:asciiTheme="minorHAnsi" w:hAnsiTheme="minorHAnsi" w:cstheme="minorHAnsi"/>
          <w:color w:val="000000"/>
          <w:kern w:val="3"/>
          <w:sz w:val="24"/>
          <w:szCs w:val="24"/>
        </w:rPr>
        <w:t>Ενίσχυση της πολιτιστικής και δημιουργικής οικονομίας ως βασικού πυλώνα ανάπτυξης.</w:t>
      </w:r>
    </w:p>
    <w:p w14:paraId="2A5BC828" w14:textId="77777777" w:rsidR="002A2422" w:rsidRDefault="003B3AD7">
      <w:pPr>
        <w:pStyle w:val="ad"/>
        <w:numPr>
          <w:ilvl w:val="0"/>
          <w:numId w:val="7"/>
        </w:numPr>
        <w:suppressAutoHyphens/>
        <w:autoSpaceDN w:val="0"/>
        <w:spacing w:before="60" w:after="60"/>
        <w:contextualSpacing w:val="0"/>
        <w:textAlignment w:val="baseline"/>
        <w:rPr>
          <w:rFonts w:asciiTheme="minorHAnsi" w:hAnsiTheme="minorHAnsi" w:cstheme="minorHAnsi"/>
          <w:sz w:val="24"/>
          <w:szCs w:val="24"/>
        </w:rPr>
      </w:pPr>
      <w:r>
        <w:rPr>
          <w:rFonts w:asciiTheme="minorHAnsi" w:hAnsiTheme="minorHAnsi" w:cstheme="minorHAnsi"/>
          <w:color w:val="000000"/>
          <w:kern w:val="3"/>
          <w:sz w:val="24"/>
          <w:szCs w:val="24"/>
        </w:rPr>
        <w:t>Συμβολή του Πολιτισμού στην κοινωνική ανάπτυξη και την ισότιμη πρόσβαση όλων των κοινωνικών ομάδων στα πολιτιστικά αγαθά.</w:t>
      </w:r>
    </w:p>
    <w:p w14:paraId="1E1A6EFD" w14:textId="77777777" w:rsidR="002A2422" w:rsidRDefault="003B3AD7">
      <w:pPr>
        <w:pStyle w:val="ad"/>
        <w:numPr>
          <w:ilvl w:val="0"/>
          <w:numId w:val="7"/>
        </w:numPr>
        <w:suppressAutoHyphens/>
        <w:autoSpaceDN w:val="0"/>
        <w:spacing w:before="60" w:after="60"/>
        <w:contextualSpacing w:val="0"/>
        <w:textAlignment w:val="baseline"/>
        <w:rPr>
          <w:rFonts w:asciiTheme="minorHAnsi" w:hAnsiTheme="minorHAnsi" w:cstheme="minorHAnsi"/>
          <w:sz w:val="24"/>
          <w:szCs w:val="24"/>
        </w:rPr>
      </w:pPr>
      <w:r>
        <w:rPr>
          <w:rFonts w:asciiTheme="minorHAnsi" w:hAnsiTheme="minorHAnsi" w:cstheme="minorHAnsi"/>
          <w:color w:val="000000"/>
          <w:kern w:val="3"/>
          <w:sz w:val="24"/>
          <w:szCs w:val="24"/>
        </w:rPr>
        <w:t>Αναβάθμιση του δημόσιου χώρου και βελτιωμένη πρόσβαση σε πολιτιστικές δραστηριότητες.</w:t>
      </w:r>
    </w:p>
    <w:p w14:paraId="7720AC2F" w14:textId="77777777" w:rsidR="002A2422" w:rsidRDefault="003B3AD7">
      <w:pPr>
        <w:pStyle w:val="ad"/>
        <w:numPr>
          <w:ilvl w:val="0"/>
          <w:numId w:val="7"/>
        </w:numPr>
        <w:suppressAutoHyphens/>
        <w:autoSpaceDN w:val="0"/>
        <w:spacing w:before="60" w:after="60"/>
        <w:contextualSpacing w:val="0"/>
        <w:textAlignment w:val="baseline"/>
        <w:rPr>
          <w:rFonts w:asciiTheme="minorHAnsi" w:hAnsiTheme="minorHAnsi" w:cstheme="minorHAnsi"/>
          <w:sz w:val="24"/>
          <w:szCs w:val="24"/>
        </w:rPr>
      </w:pPr>
      <w:r>
        <w:rPr>
          <w:rFonts w:asciiTheme="minorHAnsi" w:hAnsiTheme="minorHAnsi" w:cstheme="minorHAnsi"/>
          <w:color w:val="000000"/>
          <w:kern w:val="3"/>
          <w:sz w:val="24"/>
          <w:szCs w:val="24"/>
        </w:rPr>
        <w:t>Διακρατικές-διασυνοριακές συνεργασίες στον Πολιτισμό - Ανάδειξη της Ελλάδας ως διεθνούς πολιτιστικού πόλου.</w:t>
      </w:r>
    </w:p>
    <w:p w14:paraId="3B7A83D5" w14:textId="77777777" w:rsidR="002A2422" w:rsidRDefault="003B3AD7">
      <w:pPr>
        <w:pStyle w:val="ad"/>
        <w:numPr>
          <w:ilvl w:val="0"/>
          <w:numId w:val="7"/>
        </w:numPr>
        <w:suppressAutoHyphens/>
        <w:autoSpaceDN w:val="0"/>
        <w:spacing w:before="60" w:after="60"/>
        <w:contextualSpacing w:val="0"/>
        <w:textAlignment w:val="baseline"/>
        <w:rPr>
          <w:rFonts w:asciiTheme="minorHAnsi" w:hAnsiTheme="minorHAnsi" w:cstheme="minorHAnsi"/>
          <w:sz w:val="24"/>
          <w:szCs w:val="24"/>
        </w:rPr>
      </w:pPr>
      <w:r>
        <w:rPr>
          <w:rFonts w:asciiTheme="minorHAnsi" w:hAnsiTheme="minorHAnsi" w:cstheme="minorHAnsi"/>
          <w:color w:val="000000"/>
          <w:kern w:val="3"/>
          <w:sz w:val="24"/>
          <w:szCs w:val="24"/>
        </w:rPr>
        <w:t>Προστασία και ανάδειξη της πολιτιστικής κληρονομιάς και διασύνδεσης με τη σύγχρονη πολιτιστική δημιουργία.</w:t>
      </w:r>
    </w:p>
    <w:p w14:paraId="6620467D" w14:textId="77777777" w:rsidR="002A2422" w:rsidRDefault="003B3AD7">
      <w:pPr>
        <w:pStyle w:val="ad"/>
        <w:numPr>
          <w:ilvl w:val="0"/>
          <w:numId w:val="7"/>
        </w:numPr>
        <w:suppressAutoHyphens/>
        <w:autoSpaceDN w:val="0"/>
        <w:spacing w:before="60" w:after="60"/>
        <w:contextualSpacing w:val="0"/>
        <w:textAlignment w:val="baseline"/>
        <w:rPr>
          <w:rFonts w:asciiTheme="minorHAnsi" w:hAnsiTheme="minorHAnsi" w:cstheme="minorHAnsi"/>
          <w:sz w:val="24"/>
          <w:szCs w:val="24"/>
        </w:rPr>
      </w:pPr>
      <w:r>
        <w:rPr>
          <w:rFonts w:asciiTheme="minorHAnsi" w:hAnsiTheme="minorHAnsi" w:cstheme="minorHAnsi"/>
          <w:color w:val="000000"/>
          <w:kern w:val="3"/>
          <w:sz w:val="24"/>
          <w:szCs w:val="24"/>
        </w:rPr>
        <w:t xml:space="preserve">Παρεμβάσεις για τον </w:t>
      </w:r>
      <w:proofErr w:type="spellStart"/>
      <w:r>
        <w:rPr>
          <w:rFonts w:asciiTheme="minorHAnsi" w:hAnsiTheme="minorHAnsi" w:cstheme="minorHAnsi"/>
          <w:color w:val="000000"/>
          <w:kern w:val="3"/>
          <w:sz w:val="24"/>
          <w:szCs w:val="24"/>
        </w:rPr>
        <w:t>εξορθολογισμό</w:t>
      </w:r>
      <w:proofErr w:type="spellEnd"/>
      <w:r>
        <w:rPr>
          <w:rFonts w:asciiTheme="minorHAnsi" w:hAnsiTheme="minorHAnsi" w:cstheme="minorHAnsi"/>
          <w:color w:val="000000"/>
          <w:kern w:val="3"/>
          <w:sz w:val="24"/>
          <w:szCs w:val="24"/>
        </w:rPr>
        <w:t xml:space="preserve"> και εκσυγχρονισμό των δομών και της λειτουργίας του ΥΠΠΟΑ, απλοποίηση των διαδικασιών και προώθηση της ηλεκτρονικής διακυβέρνησης.</w:t>
      </w:r>
    </w:p>
    <w:p w14:paraId="7F3D0784" w14:textId="77777777" w:rsidR="002A2422" w:rsidRDefault="003B3AD7">
      <w:pPr>
        <w:pStyle w:val="ad"/>
        <w:numPr>
          <w:ilvl w:val="0"/>
          <w:numId w:val="7"/>
        </w:numPr>
        <w:suppressAutoHyphens/>
        <w:autoSpaceDN w:val="0"/>
        <w:spacing w:before="60" w:after="60"/>
        <w:contextualSpacing w:val="0"/>
        <w:textAlignment w:val="baseline"/>
        <w:rPr>
          <w:rFonts w:asciiTheme="minorHAnsi" w:hAnsiTheme="minorHAnsi" w:cstheme="minorHAnsi"/>
          <w:sz w:val="24"/>
          <w:szCs w:val="24"/>
        </w:rPr>
      </w:pPr>
      <w:r>
        <w:rPr>
          <w:rFonts w:asciiTheme="minorHAnsi" w:hAnsiTheme="minorHAnsi" w:cstheme="minorHAnsi"/>
          <w:color w:val="000000"/>
          <w:kern w:val="3"/>
          <w:sz w:val="24"/>
          <w:szCs w:val="24"/>
        </w:rPr>
        <w:t xml:space="preserve">Αντιμετώπιση των συνεπειών της πανδημίας του </w:t>
      </w:r>
      <w:r>
        <w:rPr>
          <w:rFonts w:asciiTheme="minorHAnsi" w:hAnsiTheme="minorHAnsi" w:cstheme="minorHAnsi"/>
          <w:color w:val="000000"/>
          <w:kern w:val="3"/>
          <w:sz w:val="24"/>
          <w:szCs w:val="24"/>
          <w:lang w:val="en-US"/>
        </w:rPr>
        <w:t>COVID</w:t>
      </w:r>
      <w:r>
        <w:rPr>
          <w:rFonts w:asciiTheme="minorHAnsi" w:hAnsiTheme="minorHAnsi" w:cstheme="minorHAnsi"/>
          <w:color w:val="000000"/>
          <w:kern w:val="3"/>
          <w:sz w:val="24"/>
          <w:szCs w:val="24"/>
        </w:rPr>
        <w:t>-19 στον τομέα του Πολιτισμού.</w:t>
      </w:r>
    </w:p>
    <w:p w14:paraId="6356588C" w14:textId="77777777" w:rsidR="002A2422" w:rsidRDefault="002A2422">
      <w:pPr>
        <w:spacing w:before="60" w:after="60"/>
        <w:rPr>
          <w:rFonts w:asciiTheme="minorHAnsi" w:hAnsiTheme="minorHAnsi" w:cstheme="minorHAnsi"/>
          <w:sz w:val="24"/>
          <w:szCs w:val="24"/>
        </w:rPr>
      </w:pPr>
    </w:p>
    <w:p w14:paraId="028FEDF8"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Παρακάτω αποτυπώνεται συνοπτικά ο αριθμός έργων και μελετών που υλοποιούνται αυτή την περίοδο από το Εθνικό και το Συγχρηματοδοτούμενο (ΕΣΠΑ)  σκέλος του ΠΔΕ.</w:t>
      </w:r>
    </w:p>
    <w:p w14:paraId="66A90747" w14:textId="77777777" w:rsidR="002A2422" w:rsidRDefault="002A2422">
      <w:pPr>
        <w:spacing w:before="60" w:after="60"/>
        <w:rPr>
          <w:rFonts w:asciiTheme="minorHAnsi" w:hAnsiTheme="minorHAnsi" w:cstheme="minorHAnsi"/>
          <w:sz w:val="24"/>
          <w:szCs w:val="24"/>
        </w:rPr>
      </w:pPr>
    </w:p>
    <w:tbl>
      <w:tblPr>
        <w:tblStyle w:val="2-61"/>
        <w:tblW w:w="71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6"/>
        <w:gridCol w:w="3297"/>
        <w:gridCol w:w="1692"/>
      </w:tblGrid>
      <w:tr w:rsidR="002A2422" w14:paraId="3B49D17C" w14:textId="77777777" w:rsidTr="002A2422">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126" w:type="dxa"/>
            <w:tcBorders>
              <w:bottom w:val="nil"/>
            </w:tcBorders>
            <w:noWrap/>
          </w:tcPr>
          <w:p w14:paraId="7D8913DF" w14:textId="77777777" w:rsidR="002A2422" w:rsidRDefault="002A2422">
            <w:pPr>
              <w:rPr>
                <w:rFonts w:ascii="Times New Roman" w:eastAsia="Times New Roman" w:hAnsi="Times New Roman" w:cs="Times New Roman"/>
                <w:sz w:val="24"/>
                <w:szCs w:val="24"/>
                <w:lang w:eastAsia="en-US"/>
              </w:rPr>
            </w:pPr>
          </w:p>
        </w:tc>
        <w:tc>
          <w:tcPr>
            <w:tcW w:w="3297" w:type="dxa"/>
            <w:tcBorders>
              <w:bottom w:val="nil"/>
            </w:tcBorders>
            <w:noWrap/>
          </w:tcPr>
          <w:p w14:paraId="0ECC4421" w14:textId="77777777" w:rsidR="002A2422" w:rsidRDefault="003B3AD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US"/>
              </w:rPr>
            </w:pPr>
            <w:r>
              <w:rPr>
                <w:rFonts w:ascii="Calibri" w:eastAsia="Times New Roman" w:hAnsi="Calibri" w:cs="Calibri"/>
                <w:color w:val="000000"/>
                <w:lang w:eastAsia="en-US"/>
              </w:rPr>
              <w:t>ΑΡ. ΕΡΓΩΝ</w:t>
            </w:r>
          </w:p>
        </w:tc>
        <w:tc>
          <w:tcPr>
            <w:tcW w:w="1692" w:type="dxa"/>
            <w:tcBorders>
              <w:bottom w:val="nil"/>
            </w:tcBorders>
            <w:noWrap/>
          </w:tcPr>
          <w:p w14:paraId="4D5E720A" w14:textId="77777777" w:rsidR="002A2422" w:rsidRDefault="003B3AD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US"/>
              </w:rPr>
            </w:pPr>
            <w:r>
              <w:rPr>
                <w:rFonts w:ascii="Calibri" w:eastAsia="Times New Roman" w:hAnsi="Calibri" w:cs="Calibri"/>
                <w:color w:val="000000"/>
                <w:lang w:eastAsia="en-US"/>
              </w:rPr>
              <w:t>ΑΡ. ΜΕΛΕΤΩΝ</w:t>
            </w:r>
          </w:p>
        </w:tc>
      </w:tr>
      <w:tr w:rsidR="002A2422" w14:paraId="104FE57D" w14:textId="77777777" w:rsidTr="002A2422">
        <w:trPr>
          <w:trHeight w:val="416"/>
        </w:trPr>
        <w:tc>
          <w:tcPr>
            <w:cnfStyle w:val="001000000000" w:firstRow="0" w:lastRow="0" w:firstColumn="1" w:lastColumn="0" w:oddVBand="0" w:evenVBand="0" w:oddHBand="0" w:evenHBand="0" w:firstRowFirstColumn="0" w:firstRowLastColumn="0" w:lastRowFirstColumn="0" w:lastRowLastColumn="0"/>
            <w:tcW w:w="2126" w:type="dxa"/>
            <w:shd w:val="clear" w:color="auto" w:fill="E2EFD9" w:themeFill="accent6" w:themeFillTint="33"/>
            <w:noWrap/>
          </w:tcPr>
          <w:p w14:paraId="19F65273" w14:textId="77777777" w:rsidR="002A2422" w:rsidRDefault="003B3AD7">
            <w:pPr>
              <w:rPr>
                <w:rFonts w:ascii="Calibri" w:eastAsia="Times New Roman" w:hAnsi="Calibri" w:cs="Calibri"/>
                <w:color w:val="000000"/>
                <w:lang w:eastAsia="en-US"/>
              </w:rPr>
            </w:pPr>
            <w:r>
              <w:rPr>
                <w:rFonts w:ascii="Calibri" w:eastAsia="Times New Roman" w:hAnsi="Calibri" w:cs="Calibri"/>
                <w:color w:val="000000"/>
                <w:lang w:eastAsia="en-US"/>
              </w:rPr>
              <w:t xml:space="preserve">Εθνικό ΠΔΕ </w:t>
            </w:r>
          </w:p>
        </w:tc>
        <w:tc>
          <w:tcPr>
            <w:tcW w:w="3297" w:type="dxa"/>
            <w:shd w:val="clear" w:color="auto" w:fill="E2EFD9" w:themeFill="accent6" w:themeFillTint="33"/>
            <w:noWrap/>
          </w:tcPr>
          <w:p w14:paraId="19C5B56F"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US"/>
              </w:rPr>
            </w:pPr>
            <w:r>
              <w:rPr>
                <w:rFonts w:ascii="Calibri" w:eastAsia="Times New Roman" w:hAnsi="Calibri" w:cs="Calibri"/>
                <w:color w:val="000000"/>
                <w:lang w:eastAsia="en-US"/>
              </w:rPr>
              <w:t>72</w:t>
            </w:r>
          </w:p>
        </w:tc>
        <w:tc>
          <w:tcPr>
            <w:tcW w:w="1692" w:type="dxa"/>
            <w:shd w:val="clear" w:color="auto" w:fill="E2EFD9" w:themeFill="accent6" w:themeFillTint="33"/>
            <w:noWrap/>
          </w:tcPr>
          <w:p w14:paraId="50CE2AE1"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US"/>
              </w:rPr>
            </w:pPr>
            <w:r>
              <w:rPr>
                <w:rFonts w:ascii="Calibri" w:eastAsia="Times New Roman" w:hAnsi="Calibri" w:cs="Calibri"/>
                <w:color w:val="000000"/>
                <w:lang w:eastAsia="en-US"/>
              </w:rPr>
              <w:t>38</w:t>
            </w:r>
          </w:p>
        </w:tc>
      </w:tr>
      <w:tr w:rsidR="002A2422" w14:paraId="5C49A7B7" w14:textId="77777777" w:rsidTr="002A2422">
        <w:trPr>
          <w:trHeight w:val="416"/>
        </w:trPr>
        <w:tc>
          <w:tcPr>
            <w:cnfStyle w:val="001000000000" w:firstRow="0" w:lastRow="0" w:firstColumn="1" w:lastColumn="0" w:oddVBand="0" w:evenVBand="0" w:oddHBand="0" w:evenHBand="0" w:firstRowFirstColumn="0" w:firstRowLastColumn="0" w:lastRowFirstColumn="0" w:lastRowLastColumn="0"/>
            <w:tcW w:w="2126" w:type="dxa"/>
            <w:noWrap/>
          </w:tcPr>
          <w:p w14:paraId="6423A787" w14:textId="77777777" w:rsidR="002A2422" w:rsidRDefault="003B3AD7">
            <w:pPr>
              <w:rPr>
                <w:rFonts w:ascii="Calibri" w:eastAsia="Times New Roman" w:hAnsi="Calibri" w:cs="Calibri"/>
                <w:color w:val="000000"/>
                <w:lang w:eastAsia="en-US"/>
              </w:rPr>
            </w:pPr>
            <w:r>
              <w:rPr>
                <w:rFonts w:ascii="Calibri" w:eastAsia="Times New Roman" w:hAnsi="Calibri" w:cs="Calibri"/>
                <w:color w:val="000000"/>
                <w:lang w:eastAsia="en-US"/>
              </w:rPr>
              <w:t>ΕΣΠΑ 2014-2020</w:t>
            </w:r>
          </w:p>
        </w:tc>
        <w:tc>
          <w:tcPr>
            <w:tcW w:w="3297" w:type="dxa"/>
            <w:noWrap/>
          </w:tcPr>
          <w:p w14:paraId="46DECBF2"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US"/>
              </w:rPr>
            </w:pPr>
            <w:r>
              <w:rPr>
                <w:rFonts w:ascii="Calibri" w:eastAsia="Times New Roman" w:hAnsi="Calibri" w:cs="Calibri"/>
                <w:color w:val="000000"/>
                <w:lang w:eastAsia="en-US"/>
              </w:rPr>
              <w:t>318</w:t>
            </w:r>
          </w:p>
        </w:tc>
        <w:tc>
          <w:tcPr>
            <w:tcW w:w="1692" w:type="dxa"/>
            <w:noWrap/>
          </w:tcPr>
          <w:p w14:paraId="6C42DDF3"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US"/>
              </w:rPr>
            </w:pPr>
            <w:r>
              <w:rPr>
                <w:rFonts w:ascii="Calibri" w:eastAsia="Times New Roman" w:hAnsi="Calibri" w:cs="Calibri"/>
                <w:color w:val="000000"/>
                <w:lang w:eastAsia="en-US"/>
              </w:rPr>
              <w:t>0</w:t>
            </w:r>
          </w:p>
        </w:tc>
      </w:tr>
    </w:tbl>
    <w:p w14:paraId="10B3FBD0" w14:textId="77777777" w:rsidR="002A2422" w:rsidRDefault="002A2422">
      <w:pPr>
        <w:rPr>
          <w:rFonts w:asciiTheme="minorHAnsi" w:hAnsiTheme="minorHAnsi" w:cstheme="minorHAnsi"/>
          <w:sz w:val="20"/>
          <w:szCs w:val="20"/>
        </w:rPr>
      </w:pPr>
    </w:p>
    <w:p w14:paraId="63D0165A" w14:textId="77777777" w:rsidR="002A2422" w:rsidRDefault="003B3AD7">
      <w:pPr>
        <w:rPr>
          <w:rFonts w:asciiTheme="minorHAnsi" w:hAnsiTheme="minorHAnsi" w:cstheme="minorHAnsi"/>
          <w:sz w:val="20"/>
          <w:szCs w:val="20"/>
        </w:rPr>
      </w:pPr>
      <w:r>
        <w:rPr>
          <w:rFonts w:asciiTheme="minorHAnsi" w:hAnsiTheme="minorHAnsi" w:cstheme="minorHAnsi"/>
          <w:sz w:val="20"/>
          <w:szCs w:val="20"/>
        </w:rPr>
        <w:t xml:space="preserve">Πίνακας 1: Αποτύπωση έργων και μελετών  Εθνικού και Συγχρηματοδοτούμενου ΠΔΕ  </w:t>
      </w:r>
      <w:r>
        <w:rPr>
          <w:rFonts w:ascii="Times New Roman" w:eastAsia="Times New Roman" w:hAnsi="Times New Roman" w:cs="Times New Roman"/>
          <w:b/>
          <w:bCs/>
          <w:sz w:val="20"/>
          <w:szCs w:val="20"/>
        </w:rPr>
        <w:t>(στοιχεία 04.2021)</w:t>
      </w:r>
    </w:p>
    <w:p w14:paraId="40F678F3" w14:textId="77777777" w:rsidR="002A2422" w:rsidRDefault="002A2422">
      <w:pPr>
        <w:rPr>
          <w:rFonts w:asciiTheme="minorHAnsi" w:hAnsiTheme="minorHAnsi" w:cstheme="minorHAnsi"/>
          <w:sz w:val="20"/>
          <w:szCs w:val="20"/>
        </w:rPr>
      </w:pPr>
    </w:p>
    <w:p w14:paraId="4A8ADE97" w14:textId="77777777" w:rsidR="002A2422" w:rsidRDefault="002A2422">
      <w:pPr>
        <w:rPr>
          <w:rFonts w:asciiTheme="minorHAnsi" w:hAnsiTheme="minorHAnsi" w:cstheme="minorHAnsi"/>
          <w:sz w:val="20"/>
          <w:szCs w:val="20"/>
        </w:rPr>
      </w:pPr>
    </w:p>
    <w:p w14:paraId="4C8A184D" w14:textId="77777777" w:rsidR="002A2422" w:rsidRDefault="002A2422">
      <w:pPr>
        <w:rPr>
          <w:rFonts w:asciiTheme="minorHAnsi" w:hAnsiTheme="minorHAnsi" w:cstheme="minorHAnsi"/>
          <w:sz w:val="20"/>
          <w:szCs w:val="20"/>
        </w:rPr>
      </w:pPr>
    </w:p>
    <w:p w14:paraId="68D32CD1" w14:textId="77777777" w:rsidR="002A2422" w:rsidRDefault="002A2422">
      <w:pPr>
        <w:rPr>
          <w:rFonts w:asciiTheme="minorHAnsi" w:hAnsiTheme="minorHAnsi" w:cstheme="minorHAnsi"/>
          <w:sz w:val="20"/>
          <w:szCs w:val="20"/>
        </w:rPr>
      </w:pPr>
    </w:p>
    <w:p w14:paraId="086B4EE2" w14:textId="77777777" w:rsidR="002A2422" w:rsidRDefault="002A2422">
      <w:pPr>
        <w:rPr>
          <w:rFonts w:asciiTheme="minorHAnsi" w:hAnsiTheme="minorHAnsi" w:cstheme="minorHAnsi"/>
          <w:sz w:val="20"/>
          <w:szCs w:val="20"/>
        </w:rPr>
      </w:pPr>
    </w:p>
    <w:p w14:paraId="17BDD85F" w14:textId="77777777" w:rsidR="002A2422" w:rsidRDefault="002A2422">
      <w:pPr>
        <w:rPr>
          <w:rFonts w:asciiTheme="minorHAnsi" w:hAnsiTheme="minorHAnsi" w:cstheme="minorHAnsi"/>
          <w:sz w:val="20"/>
          <w:szCs w:val="20"/>
        </w:rPr>
      </w:pPr>
    </w:p>
    <w:tbl>
      <w:tblPr>
        <w:tblStyle w:val="4-31"/>
        <w:tblW w:w="5000" w:type="pct"/>
        <w:tblLook w:val="04A0" w:firstRow="1" w:lastRow="0" w:firstColumn="1" w:lastColumn="0" w:noHBand="0" w:noVBand="1"/>
      </w:tblPr>
      <w:tblGrid>
        <w:gridCol w:w="2953"/>
        <w:gridCol w:w="6690"/>
      </w:tblGrid>
      <w:tr w:rsidR="002A2422" w14:paraId="5B46C854" w14:textId="77777777" w:rsidTr="002A24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pct"/>
            <w:noWrap/>
          </w:tcPr>
          <w:p w14:paraId="692264B0" w14:textId="77777777" w:rsidR="002A2422" w:rsidRDefault="003B3AD7">
            <w:pPr>
              <w:rPr>
                <w:rFonts w:ascii="Calibri" w:eastAsia="Times New Roman" w:hAnsi="Calibri" w:cs="Calibri"/>
                <w:color w:val="000000"/>
              </w:rPr>
            </w:pPr>
            <w:r>
              <w:rPr>
                <w:rFonts w:ascii="Calibri" w:eastAsia="Times New Roman" w:hAnsi="Calibri" w:cs="Calibri"/>
                <w:color w:val="000000"/>
              </w:rPr>
              <w:lastRenderedPageBreak/>
              <w:t xml:space="preserve">Πηγή Χρηματοδότησης </w:t>
            </w:r>
          </w:p>
        </w:tc>
        <w:tc>
          <w:tcPr>
            <w:tcW w:w="3469" w:type="pct"/>
            <w:noWrap/>
          </w:tcPr>
          <w:p w14:paraId="677DAC45" w14:textId="77777777" w:rsidR="002A2422" w:rsidRDefault="003B3AD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ΑΡΙΘΜΟΣ  ΕΡΓΩΝ</w:t>
            </w:r>
          </w:p>
        </w:tc>
      </w:tr>
      <w:tr w:rsidR="002A2422" w14:paraId="6FF68657"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1531" w:type="pct"/>
            <w:shd w:val="clear" w:color="auto" w:fill="EDEDED" w:themeFill="accent3" w:themeFillTint="33"/>
            <w:noWrap/>
          </w:tcPr>
          <w:p w14:paraId="4580229F" w14:textId="77777777" w:rsidR="002A2422" w:rsidRDefault="003B3AD7">
            <w:pPr>
              <w:rPr>
                <w:rFonts w:ascii="Calibri" w:eastAsia="Times New Roman" w:hAnsi="Calibri" w:cs="Calibri"/>
                <w:color w:val="000000"/>
              </w:rPr>
            </w:pPr>
            <w:r>
              <w:rPr>
                <w:rFonts w:ascii="Calibri" w:eastAsia="Times New Roman" w:hAnsi="Calibri" w:cs="Calibri"/>
                <w:color w:val="000000"/>
              </w:rPr>
              <w:t>ΣΑΕ 014</w:t>
            </w:r>
          </w:p>
        </w:tc>
        <w:tc>
          <w:tcPr>
            <w:tcW w:w="3469" w:type="pct"/>
            <w:shd w:val="clear" w:color="auto" w:fill="EDEDED" w:themeFill="accent3" w:themeFillTint="33"/>
            <w:noWrap/>
          </w:tcPr>
          <w:p w14:paraId="5FBCFB03"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51</w:t>
            </w:r>
          </w:p>
        </w:tc>
      </w:tr>
      <w:tr w:rsidR="002A2422" w14:paraId="2E6C034E"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1531" w:type="pct"/>
            <w:noWrap/>
          </w:tcPr>
          <w:p w14:paraId="5F8CB928" w14:textId="77777777" w:rsidR="002A2422" w:rsidRDefault="003B3AD7">
            <w:pPr>
              <w:rPr>
                <w:rFonts w:ascii="Calibri" w:eastAsia="Times New Roman" w:hAnsi="Calibri" w:cs="Calibri"/>
                <w:color w:val="000000"/>
              </w:rPr>
            </w:pPr>
            <w:r>
              <w:rPr>
                <w:rFonts w:ascii="Calibri" w:eastAsia="Times New Roman" w:hAnsi="Calibri" w:cs="Calibri"/>
                <w:color w:val="000000"/>
              </w:rPr>
              <w:t>ΣΑΕ 514</w:t>
            </w:r>
          </w:p>
        </w:tc>
        <w:tc>
          <w:tcPr>
            <w:tcW w:w="3469" w:type="pct"/>
            <w:noWrap/>
          </w:tcPr>
          <w:p w14:paraId="34A80F9E"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w:t>
            </w:r>
          </w:p>
        </w:tc>
      </w:tr>
      <w:tr w:rsidR="002A2422" w14:paraId="4521AF54"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1531" w:type="pct"/>
            <w:shd w:val="clear" w:color="auto" w:fill="EDEDED" w:themeFill="accent3" w:themeFillTint="33"/>
            <w:noWrap/>
          </w:tcPr>
          <w:p w14:paraId="00C79830" w14:textId="77777777" w:rsidR="002A2422" w:rsidRDefault="003B3AD7">
            <w:pPr>
              <w:rPr>
                <w:rFonts w:ascii="Calibri" w:eastAsia="Times New Roman" w:hAnsi="Calibri" w:cs="Calibri"/>
                <w:color w:val="000000"/>
              </w:rPr>
            </w:pPr>
            <w:r>
              <w:rPr>
                <w:rFonts w:ascii="Calibri" w:eastAsia="Times New Roman" w:hAnsi="Calibri" w:cs="Calibri"/>
                <w:color w:val="000000"/>
              </w:rPr>
              <w:t>ΣΑΕ 814</w:t>
            </w:r>
          </w:p>
        </w:tc>
        <w:tc>
          <w:tcPr>
            <w:tcW w:w="3469" w:type="pct"/>
            <w:shd w:val="clear" w:color="auto" w:fill="EDEDED" w:themeFill="accent3" w:themeFillTint="33"/>
            <w:noWrap/>
          </w:tcPr>
          <w:p w14:paraId="04261C8B"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w:t>
            </w:r>
          </w:p>
        </w:tc>
      </w:tr>
      <w:tr w:rsidR="002A2422" w14:paraId="5284D873"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1531" w:type="pct"/>
            <w:noWrap/>
          </w:tcPr>
          <w:p w14:paraId="384FFCA5" w14:textId="77777777" w:rsidR="002A2422" w:rsidRDefault="003B3AD7">
            <w:pPr>
              <w:rPr>
                <w:rFonts w:ascii="Calibri" w:eastAsia="Times New Roman" w:hAnsi="Calibri" w:cs="Calibri"/>
                <w:color w:val="000000"/>
              </w:rPr>
            </w:pPr>
            <w:r>
              <w:rPr>
                <w:rFonts w:ascii="Calibri" w:eastAsia="Times New Roman" w:hAnsi="Calibri" w:cs="Calibri"/>
                <w:color w:val="000000"/>
              </w:rPr>
              <w:t>ΣΑΜ 014</w:t>
            </w:r>
          </w:p>
        </w:tc>
        <w:tc>
          <w:tcPr>
            <w:tcW w:w="3469" w:type="pct"/>
            <w:noWrap/>
          </w:tcPr>
          <w:p w14:paraId="6F9C1956"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w:t>
            </w:r>
          </w:p>
        </w:tc>
      </w:tr>
      <w:tr w:rsidR="002A2422" w14:paraId="728B5F3E"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1531" w:type="pct"/>
            <w:shd w:val="clear" w:color="auto" w:fill="EDEDED" w:themeFill="accent3" w:themeFillTint="33"/>
            <w:noWrap/>
          </w:tcPr>
          <w:p w14:paraId="4D70964F" w14:textId="77777777" w:rsidR="002A2422" w:rsidRDefault="003B3AD7">
            <w:pPr>
              <w:rPr>
                <w:rFonts w:ascii="Calibri" w:eastAsia="Times New Roman" w:hAnsi="Calibri" w:cs="Calibri"/>
                <w:color w:val="000000"/>
              </w:rPr>
            </w:pPr>
            <w:r>
              <w:rPr>
                <w:rFonts w:ascii="Calibri" w:eastAsia="Times New Roman" w:hAnsi="Calibri" w:cs="Calibri"/>
                <w:color w:val="000000"/>
              </w:rPr>
              <w:t>ΣΑΜ 914</w:t>
            </w:r>
          </w:p>
        </w:tc>
        <w:tc>
          <w:tcPr>
            <w:tcW w:w="3469" w:type="pct"/>
            <w:shd w:val="clear" w:color="auto" w:fill="EDEDED" w:themeFill="accent3" w:themeFillTint="33"/>
            <w:noWrap/>
          </w:tcPr>
          <w:p w14:paraId="73432911"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color w:val="000000"/>
              </w:rPr>
              <w:t>33</w:t>
            </w:r>
          </w:p>
        </w:tc>
      </w:tr>
      <w:tr w:rsidR="002A2422" w14:paraId="5292B330"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1531" w:type="pct"/>
            <w:shd w:val="clear" w:color="auto" w:fill="EDEDED" w:themeFill="accent3" w:themeFillTint="33"/>
            <w:noWrap/>
          </w:tcPr>
          <w:p w14:paraId="67D1C748" w14:textId="77777777" w:rsidR="002A2422" w:rsidRDefault="003B3AD7">
            <w:pPr>
              <w:rPr>
                <w:rFonts w:ascii="Calibri" w:eastAsia="Times New Roman" w:hAnsi="Calibri" w:cs="Calibri"/>
                <w:color w:val="000000"/>
              </w:rPr>
            </w:pPr>
            <w:r>
              <w:rPr>
                <w:rFonts w:ascii="Calibri" w:eastAsia="Times New Roman" w:hAnsi="Calibri" w:cs="Calibri"/>
                <w:color w:val="000000"/>
              </w:rPr>
              <w:t>Γενικό Άθροισμα</w:t>
            </w:r>
          </w:p>
        </w:tc>
        <w:tc>
          <w:tcPr>
            <w:tcW w:w="3469" w:type="pct"/>
            <w:shd w:val="clear" w:color="auto" w:fill="EDEDED" w:themeFill="accent3" w:themeFillTint="33"/>
            <w:noWrap/>
          </w:tcPr>
          <w:p w14:paraId="75D6F570"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110</w:t>
            </w:r>
          </w:p>
        </w:tc>
      </w:tr>
    </w:tbl>
    <w:p w14:paraId="60F108AF" w14:textId="77777777" w:rsidR="002A2422" w:rsidRDefault="002A2422">
      <w:pPr>
        <w:rPr>
          <w:rFonts w:asciiTheme="minorHAnsi" w:hAnsiTheme="minorHAnsi" w:cstheme="minorHAnsi"/>
          <w:sz w:val="20"/>
          <w:szCs w:val="20"/>
        </w:rPr>
      </w:pPr>
    </w:p>
    <w:p w14:paraId="19E71005" w14:textId="77777777" w:rsidR="002A2422" w:rsidRDefault="003B3AD7">
      <w:pPr>
        <w:rPr>
          <w:rFonts w:asciiTheme="minorHAnsi" w:hAnsiTheme="minorHAnsi" w:cstheme="minorHAnsi"/>
          <w:sz w:val="20"/>
          <w:szCs w:val="20"/>
        </w:rPr>
      </w:pPr>
      <w:r>
        <w:rPr>
          <w:rFonts w:asciiTheme="minorHAnsi" w:hAnsiTheme="minorHAnsi" w:cstheme="minorHAnsi"/>
          <w:sz w:val="20"/>
          <w:szCs w:val="20"/>
        </w:rPr>
        <w:t xml:space="preserve">Πίνακας 2: Αποτύπωση Εθνικού ΠΔΕ  ανά ΣΑ </w:t>
      </w:r>
      <w:r>
        <w:rPr>
          <w:rFonts w:ascii="Times New Roman" w:eastAsia="Times New Roman" w:hAnsi="Times New Roman" w:cs="Times New Roman"/>
          <w:b/>
          <w:bCs/>
          <w:sz w:val="20"/>
          <w:szCs w:val="20"/>
        </w:rPr>
        <w:t>(στοιχεία 04.2021)</w:t>
      </w:r>
    </w:p>
    <w:p w14:paraId="505E5F9D" w14:textId="77777777" w:rsidR="002A2422" w:rsidRDefault="002A2422">
      <w:pPr>
        <w:rPr>
          <w:rFonts w:asciiTheme="minorHAnsi" w:hAnsiTheme="minorHAnsi" w:cstheme="minorHAnsi"/>
          <w:sz w:val="20"/>
          <w:szCs w:val="20"/>
        </w:rPr>
      </w:pPr>
    </w:p>
    <w:p w14:paraId="4F86F508" w14:textId="77777777" w:rsidR="002A2422" w:rsidRDefault="003B3AD7">
      <w:pP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461B29BC" wp14:editId="1B1CF601">
            <wp:extent cx="5273675" cy="3584575"/>
            <wp:effectExtent l="0" t="0" r="317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3675" cy="3584575"/>
                    </a:xfrm>
                    <a:prstGeom prst="rect">
                      <a:avLst/>
                    </a:prstGeom>
                    <a:noFill/>
                  </pic:spPr>
                </pic:pic>
              </a:graphicData>
            </a:graphic>
          </wp:inline>
        </w:drawing>
      </w:r>
    </w:p>
    <w:p w14:paraId="07731C6F" w14:textId="77777777" w:rsidR="002A2422" w:rsidRDefault="003B3AD7">
      <w:pPr>
        <w:rPr>
          <w:rFonts w:asciiTheme="minorHAnsi" w:hAnsiTheme="minorHAnsi" w:cstheme="minorHAnsi"/>
          <w:sz w:val="20"/>
          <w:szCs w:val="20"/>
        </w:rPr>
      </w:pPr>
      <w:r>
        <w:rPr>
          <w:rFonts w:asciiTheme="minorHAnsi" w:hAnsiTheme="minorHAnsi" w:cstheme="minorHAnsi"/>
          <w:sz w:val="20"/>
          <w:szCs w:val="20"/>
        </w:rPr>
        <w:t xml:space="preserve">Διάγραμμα 1: Αποτύπωση Εθνικού ΠΔΕ  ανά ΣΑ </w:t>
      </w:r>
      <w:r>
        <w:rPr>
          <w:rFonts w:ascii="Times New Roman" w:eastAsia="Times New Roman" w:hAnsi="Times New Roman" w:cs="Times New Roman"/>
          <w:b/>
          <w:bCs/>
          <w:sz w:val="20"/>
          <w:szCs w:val="20"/>
        </w:rPr>
        <w:t>(στοιχεία 04.2021)</w:t>
      </w:r>
    </w:p>
    <w:p w14:paraId="661690B5" w14:textId="77777777" w:rsidR="002A2422" w:rsidRDefault="002A2422">
      <w:pPr>
        <w:rPr>
          <w:rFonts w:asciiTheme="minorHAnsi" w:hAnsiTheme="minorHAnsi" w:cstheme="minorHAnsi"/>
          <w:sz w:val="20"/>
          <w:szCs w:val="20"/>
        </w:rPr>
      </w:pPr>
    </w:p>
    <w:p w14:paraId="0ABA6D6A" w14:textId="77777777" w:rsidR="002A2422" w:rsidRDefault="003B3AD7">
      <w:pPr>
        <w:pStyle w:val="3"/>
      </w:pPr>
      <w:bookmarkStart w:id="34" w:name="_Toc73665477"/>
      <w:bookmarkStart w:id="35" w:name="_Toc68011193"/>
      <w:r>
        <w:t>Εθνικό Πρόγραμμα Δημοσίων Επενδύσεων</w:t>
      </w:r>
      <w:bookmarkEnd w:id="34"/>
      <w:bookmarkEnd w:id="35"/>
    </w:p>
    <w:p w14:paraId="2D042013" w14:textId="77777777" w:rsidR="002A2422" w:rsidRDefault="003B3AD7">
      <w:pPr>
        <w:rPr>
          <w:rFonts w:asciiTheme="minorHAnsi" w:hAnsiTheme="minorHAnsi" w:cstheme="minorHAnsi"/>
          <w:sz w:val="24"/>
          <w:szCs w:val="24"/>
        </w:rPr>
      </w:pPr>
      <w:r>
        <w:rPr>
          <w:rFonts w:asciiTheme="minorHAnsi" w:hAnsiTheme="minorHAnsi" w:cstheme="minorHAnsi"/>
          <w:sz w:val="24"/>
          <w:szCs w:val="24"/>
        </w:rPr>
        <w:t xml:space="preserve">Ακολουθούν γραφικές απεικονίσεις των έργων και μελετών του Εθνικού σκέλους του ΠΔΕ του ΥΠΠΟΑ – Τομέας Πολιτισμού. </w:t>
      </w:r>
    </w:p>
    <w:p w14:paraId="124F44F5" w14:textId="77777777" w:rsidR="002A2422" w:rsidRDefault="002A2422">
      <w:pPr>
        <w:rPr>
          <w:rFonts w:asciiTheme="minorHAnsi" w:hAnsiTheme="minorHAnsi" w:cstheme="minorHAnsi"/>
          <w:sz w:val="24"/>
          <w:szCs w:val="24"/>
        </w:rPr>
      </w:pPr>
    </w:p>
    <w:p w14:paraId="06152C7F" w14:textId="77777777" w:rsidR="002A2422" w:rsidRDefault="002A2422">
      <w:pPr>
        <w:rPr>
          <w:rFonts w:asciiTheme="minorHAnsi" w:hAnsiTheme="minorHAnsi" w:cstheme="minorHAnsi"/>
          <w:sz w:val="24"/>
          <w:szCs w:val="24"/>
        </w:rPr>
      </w:pPr>
    </w:p>
    <w:p w14:paraId="7558AE2B" w14:textId="77777777" w:rsidR="002A2422" w:rsidRDefault="002A2422">
      <w:pPr>
        <w:rPr>
          <w:rFonts w:asciiTheme="minorHAnsi" w:hAnsiTheme="minorHAnsi" w:cstheme="minorHAnsi"/>
          <w:sz w:val="20"/>
          <w:szCs w:val="20"/>
        </w:rPr>
      </w:pPr>
    </w:p>
    <w:p w14:paraId="661EA400" w14:textId="77777777" w:rsidR="002A2422" w:rsidRDefault="002A2422"/>
    <w:tbl>
      <w:tblPr>
        <w:tblStyle w:val="4-31"/>
        <w:tblW w:w="5000" w:type="pct"/>
        <w:tblLook w:val="04A0" w:firstRow="1" w:lastRow="0" w:firstColumn="1" w:lastColumn="0" w:noHBand="0" w:noVBand="1"/>
      </w:tblPr>
      <w:tblGrid>
        <w:gridCol w:w="3128"/>
        <w:gridCol w:w="6515"/>
      </w:tblGrid>
      <w:tr w:rsidR="002A2422" w14:paraId="56986061" w14:textId="77777777" w:rsidTr="002A24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pct"/>
            <w:noWrap/>
          </w:tcPr>
          <w:p w14:paraId="408681EC" w14:textId="77777777" w:rsidR="002A2422" w:rsidRDefault="003B3AD7">
            <w:pPr>
              <w:rPr>
                <w:rFonts w:ascii="Calibri" w:eastAsia="Times New Roman" w:hAnsi="Calibri" w:cs="Calibri"/>
                <w:color w:val="000000"/>
              </w:rPr>
            </w:pPr>
            <w:r>
              <w:rPr>
                <w:rFonts w:ascii="Calibri" w:eastAsia="Times New Roman" w:hAnsi="Calibri" w:cs="Calibri"/>
                <w:b w:val="0"/>
                <w:bCs w:val="0"/>
                <w:color w:val="000000"/>
              </w:rPr>
              <w:lastRenderedPageBreak/>
              <w:t>Πηγή Χρηματοδότησης</w:t>
            </w:r>
          </w:p>
        </w:tc>
        <w:tc>
          <w:tcPr>
            <w:tcW w:w="3377" w:type="pct"/>
            <w:noWrap/>
          </w:tcPr>
          <w:p w14:paraId="0333001F" w14:textId="77777777" w:rsidR="002A2422" w:rsidRDefault="003B3AD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ΠΡΟΫΠΟΛΟΓΙΣΜΟΣ ΕΡΓΩΝ</w:t>
            </w:r>
          </w:p>
        </w:tc>
      </w:tr>
      <w:tr w:rsidR="002A2422" w14:paraId="601C0C45"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1622" w:type="pct"/>
            <w:shd w:val="clear" w:color="auto" w:fill="EDEDED" w:themeFill="accent3" w:themeFillTint="33"/>
            <w:noWrap/>
          </w:tcPr>
          <w:p w14:paraId="2EB64F25" w14:textId="77777777" w:rsidR="002A2422" w:rsidRDefault="003B3AD7">
            <w:pPr>
              <w:rPr>
                <w:rFonts w:ascii="Calibri" w:eastAsia="Times New Roman" w:hAnsi="Calibri" w:cs="Calibri"/>
                <w:color w:val="000000"/>
              </w:rPr>
            </w:pPr>
            <w:r>
              <w:rPr>
                <w:rFonts w:ascii="Calibri" w:eastAsia="Times New Roman" w:hAnsi="Calibri" w:cs="Calibri"/>
                <w:color w:val="000000"/>
              </w:rPr>
              <w:t>ΣΑΕ 014</w:t>
            </w:r>
          </w:p>
        </w:tc>
        <w:tc>
          <w:tcPr>
            <w:tcW w:w="3377" w:type="pct"/>
            <w:shd w:val="clear" w:color="auto" w:fill="EDEDED" w:themeFill="accent3" w:themeFillTint="33"/>
            <w:noWrap/>
          </w:tcPr>
          <w:p w14:paraId="23070A1F"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39.433.037,31 €</w:t>
            </w:r>
          </w:p>
        </w:tc>
      </w:tr>
      <w:tr w:rsidR="002A2422" w14:paraId="1C2518BE"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1622" w:type="pct"/>
            <w:noWrap/>
          </w:tcPr>
          <w:p w14:paraId="2F0F9812" w14:textId="77777777" w:rsidR="002A2422" w:rsidRDefault="003B3AD7">
            <w:pPr>
              <w:rPr>
                <w:rFonts w:ascii="Calibri" w:eastAsia="Times New Roman" w:hAnsi="Calibri" w:cs="Calibri"/>
                <w:color w:val="000000"/>
              </w:rPr>
            </w:pPr>
            <w:r>
              <w:rPr>
                <w:rFonts w:ascii="Calibri" w:eastAsia="Times New Roman" w:hAnsi="Calibri" w:cs="Calibri"/>
                <w:color w:val="000000"/>
              </w:rPr>
              <w:t>ΣΑΕ 514</w:t>
            </w:r>
          </w:p>
        </w:tc>
        <w:tc>
          <w:tcPr>
            <w:tcW w:w="3377" w:type="pct"/>
            <w:noWrap/>
          </w:tcPr>
          <w:p w14:paraId="0449BEB0"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50.150.000,00 €</w:t>
            </w:r>
          </w:p>
        </w:tc>
      </w:tr>
      <w:tr w:rsidR="002A2422" w14:paraId="2B70B8D9"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1622" w:type="pct"/>
            <w:shd w:val="clear" w:color="auto" w:fill="EDEDED" w:themeFill="accent3" w:themeFillTint="33"/>
            <w:noWrap/>
          </w:tcPr>
          <w:p w14:paraId="5632EA58" w14:textId="77777777" w:rsidR="002A2422" w:rsidRDefault="003B3AD7">
            <w:pPr>
              <w:rPr>
                <w:rFonts w:ascii="Calibri" w:eastAsia="Times New Roman" w:hAnsi="Calibri" w:cs="Calibri"/>
                <w:color w:val="000000"/>
              </w:rPr>
            </w:pPr>
            <w:r>
              <w:rPr>
                <w:rFonts w:ascii="Calibri" w:eastAsia="Times New Roman" w:hAnsi="Calibri" w:cs="Calibri"/>
                <w:color w:val="000000"/>
              </w:rPr>
              <w:t>ΣΑΕ 814</w:t>
            </w:r>
          </w:p>
        </w:tc>
        <w:tc>
          <w:tcPr>
            <w:tcW w:w="3377" w:type="pct"/>
            <w:shd w:val="clear" w:color="auto" w:fill="EDEDED" w:themeFill="accent3" w:themeFillTint="33"/>
            <w:noWrap/>
          </w:tcPr>
          <w:p w14:paraId="7A550A15"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olor w:val="000000"/>
              </w:rPr>
              <w:t>8</w:t>
            </w:r>
            <w:r>
              <w:rPr>
                <w:rFonts w:ascii="Calibri" w:eastAsia="Times New Roman" w:hAnsi="Calibri"/>
                <w:color w:val="000000"/>
                <w:lang w:val="en-US"/>
              </w:rPr>
              <w:t>.</w:t>
            </w:r>
            <w:r>
              <w:rPr>
                <w:rFonts w:ascii="Calibri" w:eastAsia="Times New Roman" w:hAnsi="Calibri"/>
                <w:color w:val="000000"/>
              </w:rPr>
              <w:t>676</w:t>
            </w:r>
            <w:r>
              <w:rPr>
                <w:rFonts w:ascii="Calibri" w:eastAsia="Times New Roman" w:hAnsi="Calibri"/>
                <w:color w:val="000000"/>
                <w:lang w:val="en-US"/>
              </w:rPr>
              <w:t>.</w:t>
            </w:r>
            <w:r>
              <w:rPr>
                <w:rFonts w:ascii="Calibri" w:eastAsia="Times New Roman" w:hAnsi="Calibri"/>
                <w:color w:val="000000"/>
              </w:rPr>
              <w:t>446,9</w:t>
            </w:r>
            <w:r>
              <w:rPr>
                <w:rFonts w:ascii="Calibri" w:eastAsia="Times New Roman" w:hAnsi="Calibri" w:cs="Calibri"/>
                <w:color w:val="000000"/>
              </w:rPr>
              <w:t xml:space="preserve"> €</w:t>
            </w:r>
          </w:p>
        </w:tc>
      </w:tr>
      <w:tr w:rsidR="002A2422" w14:paraId="56B64C19"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1622" w:type="pct"/>
            <w:shd w:val="clear" w:color="auto" w:fill="EDEDED" w:themeFill="accent3" w:themeFillTint="33"/>
            <w:noWrap/>
          </w:tcPr>
          <w:p w14:paraId="1E7021FE" w14:textId="77777777" w:rsidR="002A2422" w:rsidRDefault="003B3AD7">
            <w:pPr>
              <w:rPr>
                <w:rFonts w:ascii="Calibri" w:eastAsia="Times New Roman" w:hAnsi="Calibri" w:cs="Calibri"/>
                <w:color w:val="000000"/>
              </w:rPr>
            </w:pPr>
            <w:r>
              <w:rPr>
                <w:rFonts w:ascii="Calibri" w:eastAsia="Times New Roman" w:hAnsi="Calibri"/>
                <w:color w:val="000000"/>
              </w:rPr>
              <w:t>ΣΑΜ 914</w:t>
            </w:r>
          </w:p>
        </w:tc>
        <w:tc>
          <w:tcPr>
            <w:tcW w:w="3377" w:type="pct"/>
            <w:shd w:val="clear" w:color="auto" w:fill="EDEDED" w:themeFill="accent3" w:themeFillTint="33"/>
            <w:noWrap/>
          </w:tcPr>
          <w:p w14:paraId="4ED4D9D9"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olor w:val="000000"/>
              </w:rPr>
              <w:t>5</w:t>
            </w:r>
            <w:r>
              <w:rPr>
                <w:rFonts w:ascii="Calibri" w:eastAsia="Times New Roman" w:hAnsi="Calibri"/>
                <w:color w:val="000000"/>
                <w:lang w:val="en-US"/>
              </w:rPr>
              <w:t>.</w:t>
            </w:r>
            <w:r>
              <w:rPr>
                <w:rFonts w:ascii="Calibri" w:eastAsia="Times New Roman" w:hAnsi="Calibri"/>
                <w:color w:val="000000"/>
              </w:rPr>
              <w:t>625</w:t>
            </w:r>
            <w:r>
              <w:rPr>
                <w:rFonts w:ascii="Calibri" w:eastAsia="Times New Roman" w:hAnsi="Calibri"/>
                <w:color w:val="000000"/>
                <w:lang w:val="en-US"/>
              </w:rPr>
              <w:t>.</w:t>
            </w:r>
            <w:r>
              <w:rPr>
                <w:rFonts w:ascii="Calibri" w:eastAsia="Times New Roman" w:hAnsi="Calibri"/>
                <w:color w:val="000000"/>
              </w:rPr>
              <w:t>000</w:t>
            </w:r>
            <w:r>
              <w:rPr>
                <w:rFonts w:ascii="Calibri" w:eastAsia="Times New Roman" w:hAnsi="Calibri"/>
                <w:color w:val="000000"/>
                <w:lang w:val="en-US"/>
              </w:rPr>
              <w:t>,00</w:t>
            </w:r>
            <w:r>
              <w:rPr>
                <w:rFonts w:ascii="Calibri" w:eastAsia="Times New Roman" w:hAnsi="Calibri" w:cs="Calibri"/>
                <w:color w:val="000000"/>
              </w:rPr>
              <w:t>€</w:t>
            </w:r>
          </w:p>
        </w:tc>
      </w:tr>
      <w:tr w:rsidR="002A2422" w14:paraId="3A0CC010"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1622" w:type="pct"/>
            <w:noWrap/>
          </w:tcPr>
          <w:p w14:paraId="2A9234FF" w14:textId="77777777" w:rsidR="002A2422" w:rsidRDefault="003B3AD7">
            <w:pPr>
              <w:rPr>
                <w:rFonts w:ascii="Calibri" w:eastAsia="Times New Roman" w:hAnsi="Calibri" w:cs="Calibri"/>
                <w:color w:val="000000"/>
              </w:rPr>
            </w:pPr>
            <w:r>
              <w:rPr>
                <w:rFonts w:ascii="Calibri" w:eastAsia="Times New Roman" w:hAnsi="Calibri" w:cs="Calibri"/>
                <w:color w:val="000000"/>
              </w:rPr>
              <w:t>ΣΑΜ 014</w:t>
            </w:r>
          </w:p>
        </w:tc>
        <w:tc>
          <w:tcPr>
            <w:tcW w:w="3377" w:type="pct"/>
            <w:noWrap/>
          </w:tcPr>
          <w:p w14:paraId="4607F347"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olor w:val="000000"/>
              </w:rPr>
              <w:t>2</w:t>
            </w:r>
            <w:r>
              <w:rPr>
                <w:rFonts w:ascii="Calibri" w:eastAsia="Times New Roman" w:hAnsi="Calibri"/>
                <w:color w:val="000000"/>
                <w:lang w:val="en-US"/>
              </w:rPr>
              <w:t>.</w:t>
            </w:r>
            <w:r>
              <w:rPr>
                <w:rFonts w:ascii="Calibri" w:eastAsia="Times New Roman" w:hAnsi="Calibri"/>
                <w:color w:val="000000"/>
              </w:rPr>
              <w:t>564</w:t>
            </w:r>
            <w:r>
              <w:rPr>
                <w:rFonts w:ascii="Calibri" w:eastAsia="Times New Roman" w:hAnsi="Calibri"/>
                <w:color w:val="000000"/>
                <w:lang w:val="en-US"/>
              </w:rPr>
              <w:t>.</w:t>
            </w:r>
            <w:r>
              <w:rPr>
                <w:rFonts w:ascii="Calibri" w:eastAsia="Times New Roman" w:hAnsi="Calibri"/>
                <w:color w:val="000000"/>
              </w:rPr>
              <w:t>99</w:t>
            </w:r>
            <w:r>
              <w:rPr>
                <w:rFonts w:ascii="Calibri" w:eastAsia="Times New Roman" w:hAnsi="Calibri"/>
                <w:color w:val="000000"/>
                <w:lang w:val="en-US"/>
              </w:rPr>
              <w:t>,00</w:t>
            </w:r>
            <w:r>
              <w:rPr>
                <w:rFonts w:ascii="Calibri" w:eastAsia="Times New Roman" w:hAnsi="Calibri" w:cs="Calibri"/>
                <w:color w:val="000000"/>
              </w:rPr>
              <w:t>€</w:t>
            </w:r>
          </w:p>
        </w:tc>
      </w:tr>
      <w:tr w:rsidR="002A2422" w14:paraId="52628665"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1622" w:type="pct"/>
            <w:shd w:val="clear" w:color="auto" w:fill="EDEDED" w:themeFill="accent3" w:themeFillTint="33"/>
            <w:noWrap/>
          </w:tcPr>
          <w:p w14:paraId="1630F46A" w14:textId="77777777" w:rsidR="002A2422" w:rsidRDefault="003B3AD7">
            <w:pPr>
              <w:rPr>
                <w:rFonts w:ascii="Calibri" w:eastAsia="Times New Roman" w:hAnsi="Calibri" w:cs="Calibri"/>
                <w:color w:val="000000"/>
              </w:rPr>
            </w:pPr>
            <w:r>
              <w:rPr>
                <w:rFonts w:ascii="Calibri" w:eastAsia="Times New Roman" w:hAnsi="Calibri" w:cs="Calibri"/>
                <w:color w:val="000000"/>
              </w:rPr>
              <w:t>Γενικό Άθροισμα</w:t>
            </w:r>
          </w:p>
        </w:tc>
        <w:tc>
          <w:tcPr>
            <w:tcW w:w="3377" w:type="pct"/>
            <w:shd w:val="clear" w:color="auto" w:fill="EDEDED" w:themeFill="accent3" w:themeFillTint="33"/>
            <w:noWrap/>
            <w:vAlign w:val="center"/>
          </w:tcPr>
          <w:p w14:paraId="6F1D4EBC" w14:textId="77777777" w:rsidR="002A2422" w:rsidRDefault="003B3AD7">
            <w:pPr>
              <w:jc w:val="right"/>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SimSun" w:hAnsi="Calibri" w:cs="Calibri"/>
                <w:color w:val="000000"/>
                <w:sz w:val="24"/>
                <w:szCs w:val="24"/>
                <w:lang w:val="en-US" w:eastAsia="zh-CN" w:bidi="ar"/>
              </w:rPr>
              <w:t>106.449.475,21</w:t>
            </w:r>
            <w:r>
              <w:rPr>
                <w:rFonts w:ascii="Calibri" w:eastAsia="Times New Roman" w:hAnsi="Calibri" w:cs="Calibri"/>
                <w:color w:val="000000"/>
              </w:rPr>
              <w:t>€</w:t>
            </w:r>
          </w:p>
        </w:tc>
      </w:tr>
    </w:tbl>
    <w:p w14:paraId="28CAB386" w14:textId="77777777" w:rsidR="002A2422" w:rsidRDefault="003B3AD7">
      <w:pPr>
        <w:rPr>
          <w:rFonts w:ascii="Times New Roman" w:eastAsia="Times New Roman" w:hAnsi="Times New Roman" w:cs="Times New Roman"/>
          <w:b/>
          <w:bCs/>
          <w:sz w:val="20"/>
          <w:szCs w:val="20"/>
        </w:rPr>
      </w:pPr>
      <w:r>
        <w:rPr>
          <w:rFonts w:asciiTheme="minorHAnsi" w:hAnsiTheme="minorHAnsi" w:cstheme="minorHAnsi"/>
          <w:sz w:val="20"/>
          <w:szCs w:val="20"/>
        </w:rPr>
        <w:t xml:space="preserve">Πίνακας 3: Π/Υ </w:t>
      </w:r>
      <w:proofErr w:type="spellStart"/>
      <w:r>
        <w:rPr>
          <w:rFonts w:asciiTheme="minorHAnsi" w:hAnsiTheme="minorHAnsi" w:cstheme="minorHAnsi"/>
          <w:sz w:val="20"/>
          <w:szCs w:val="20"/>
        </w:rPr>
        <w:t>ένταγμένων</w:t>
      </w:r>
      <w:proofErr w:type="spellEnd"/>
      <w:r>
        <w:rPr>
          <w:rFonts w:asciiTheme="minorHAnsi" w:hAnsiTheme="minorHAnsi" w:cstheme="minorHAnsi"/>
          <w:sz w:val="20"/>
          <w:szCs w:val="20"/>
        </w:rPr>
        <w:t xml:space="preserve"> έργων ανά ΣΑ </w:t>
      </w:r>
      <w:r>
        <w:rPr>
          <w:rFonts w:ascii="Times New Roman" w:eastAsia="Times New Roman" w:hAnsi="Times New Roman" w:cs="Times New Roman"/>
          <w:b/>
          <w:bCs/>
          <w:sz w:val="20"/>
          <w:szCs w:val="20"/>
        </w:rPr>
        <w:t>(στοιχεία 04.2021)</w:t>
      </w:r>
    </w:p>
    <w:p w14:paraId="0355E590" w14:textId="77777777" w:rsidR="002A2422" w:rsidRDefault="003B3AD7">
      <w:pPr>
        <w:rPr>
          <w:rFonts w:ascii="Times New Roman" w:eastAsia="Times New Roman" w:hAnsi="Times New Roman" w:cs="Times New Roman"/>
          <w:b/>
          <w:bCs/>
          <w:sz w:val="20"/>
          <w:szCs w:val="20"/>
        </w:rPr>
      </w:pPr>
      <w:r>
        <w:rPr>
          <w:noProof/>
        </w:rPr>
        <w:drawing>
          <wp:inline distT="0" distB="0" distL="0" distR="0" wp14:anchorId="41163CA2" wp14:editId="0D20FC81">
            <wp:extent cx="5553075" cy="3076575"/>
            <wp:effectExtent l="0" t="0" r="9525" b="9525"/>
            <wp:docPr id="22" name="Γράφημα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547C8A" w14:textId="77777777" w:rsidR="002A2422" w:rsidRDefault="002A2422"/>
    <w:p w14:paraId="713A6896" w14:textId="77777777" w:rsidR="002A2422" w:rsidRDefault="003B3AD7">
      <w:pPr>
        <w:rPr>
          <w:rFonts w:asciiTheme="minorHAnsi" w:hAnsiTheme="minorHAnsi" w:cstheme="minorHAnsi"/>
        </w:rPr>
      </w:pPr>
      <w:r>
        <w:rPr>
          <w:rFonts w:asciiTheme="minorHAnsi" w:hAnsiTheme="minorHAnsi" w:cstheme="minorHAnsi"/>
        </w:rPr>
        <w:t xml:space="preserve">Διάγραμμα 2: Π/Υ </w:t>
      </w:r>
      <w:proofErr w:type="spellStart"/>
      <w:r>
        <w:rPr>
          <w:rFonts w:asciiTheme="minorHAnsi" w:hAnsiTheme="minorHAnsi" w:cstheme="minorHAnsi"/>
        </w:rPr>
        <w:t>ένταγμένων</w:t>
      </w:r>
      <w:proofErr w:type="spellEnd"/>
      <w:r>
        <w:rPr>
          <w:rFonts w:asciiTheme="minorHAnsi" w:hAnsiTheme="minorHAnsi" w:cstheme="minorHAnsi"/>
        </w:rPr>
        <w:t xml:space="preserve"> έργων ανά ΣΑ </w:t>
      </w:r>
      <w:r>
        <w:rPr>
          <w:rFonts w:ascii="Times New Roman" w:eastAsia="Times New Roman" w:hAnsi="Times New Roman" w:cs="Times New Roman"/>
          <w:b/>
          <w:bCs/>
          <w:sz w:val="20"/>
          <w:szCs w:val="20"/>
        </w:rPr>
        <w:t>(στοιχεία 04.2021)</w:t>
      </w:r>
    </w:p>
    <w:p w14:paraId="68CB3402" w14:textId="77777777" w:rsidR="002A2422" w:rsidRDefault="002A2422"/>
    <w:tbl>
      <w:tblPr>
        <w:tblStyle w:val="4-31"/>
        <w:tblW w:w="5000" w:type="pct"/>
        <w:tblLook w:val="04A0" w:firstRow="1" w:lastRow="0" w:firstColumn="1" w:lastColumn="0" w:noHBand="0" w:noVBand="1"/>
      </w:tblPr>
      <w:tblGrid>
        <w:gridCol w:w="3813"/>
        <w:gridCol w:w="5830"/>
      </w:tblGrid>
      <w:tr w:rsidR="002A2422" w14:paraId="66CF9B39" w14:textId="77777777" w:rsidTr="002A24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7" w:type="pct"/>
            <w:noWrap/>
          </w:tcPr>
          <w:p w14:paraId="569711C2" w14:textId="77777777" w:rsidR="002A2422" w:rsidRDefault="003B3AD7">
            <w:pPr>
              <w:rPr>
                <w:rFonts w:ascii="Calibri" w:eastAsia="Times New Roman" w:hAnsi="Calibri" w:cs="Calibri"/>
                <w:color w:val="000000"/>
              </w:rPr>
            </w:pPr>
            <w:r>
              <w:rPr>
                <w:rFonts w:ascii="Calibri" w:eastAsia="Times New Roman" w:hAnsi="Calibri" w:cs="Calibri"/>
                <w:b w:val="0"/>
                <w:bCs w:val="0"/>
                <w:color w:val="000000"/>
              </w:rPr>
              <w:t xml:space="preserve">Πηγή Χρηματοδότησης </w:t>
            </w:r>
          </w:p>
        </w:tc>
        <w:tc>
          <w:tcPr>
            <w:tcW w:w="3023" w:type="pct"/>
            <w:noWrap/>
          </w:tcPr>
          <w:p w14:paraId="7C9121EE" w14:textId="77777777" w:rsidR="002A2422" w:rsidRDefault="003B3AD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ΠΙΣΤΩΣΕΙΣ 2021</w:t>
            </w:r>
          </w:p>
        </w:tc>
      </w:tr>
      <w:tr w:rsidR="002A2422" w14:paraId="0720BA28"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1977" w:type="pct"/>
            <w:shd w:val="clear" w:color="auto" w:fill="EDEDED" w:themeFill="accent3" w:themeFillTint="33"/>
            <w:noWrap/>
          </w:tcPr>
          <w:p w14:paraId="4582CBF9" w14:textId="77777777" w:rsidR="002A2422" w:rsidRDefault="003B3AD7">
            <w:pPr>
              <w:rPr>
                <w:rFonts w:ascii="Calibri" w:eastAsia="Times New Roman" w:hAnsi="Calibri" w:cs="Calibri"/>
                <w:color w:val="000000"/>
              </w:rPr>
            </w:pPr>
            <w:r>
              <w:rPr>
                <w:rFonts w:ascii="Calibri" w:eastAsia="Times New Roman" w:hAnsi="Calibri" w:cs="Calibri"/>
                <w:color w:val="000000"/>
              </w:rPr>
              <w:t>ΣΑΕ 014</w:t>
            </w:r>
          </w:p>
        </w:tc>
        <w:tc>
          <w:tcPr>
            <w:tcW w:w="3023" w:type="pct"/>
            <w:shd w:val="clear" w:color="auto" w:fill="EDEDED" w:themeFill="accent3" w:themeFillTint="33"/>
            <w:noWrap/>
          </w:tcPr>
          <w:p w14:paraId="45D7E95F"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7.326.695,80 €</w:t>
            </w:r>
          </w:p>
        </w:tc>
      </w:tr>
      <w:tr w:rsidR="002A2422" w14:paraId="7A98311C"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1977" w:type="pct"/>
            <w:noWrap/>
          </w:tcPr>
          <w:p w14:paraId="0D923F71" w14:textId="77777777" w:rsidR="002A2422" w:rsidRDefault="003B3AD7">
            <w:pPr>
              <w:rPr>
                <w:rFonts w:ascii="Calibri" w:eastAsia="Times New Roman" w:hAnsi="Calibri" w:cs="Calibri"/>
                <w:color w:val="000000"/>
              </w:rPr>
            </w:pPr>
            <w:r>
              <w:rPr>
                <w:rFonts w:ascii="Calibri" w:eastAsia="Times New Roman" w:hAnsi="Calibri" w:cs="Calibri"/>
                <w:color w:val="000000"/>
              </w:rPr>
              <w:t>ΣΑΕ 514</w:t>
            </w:r>
          </w:p>
        </w:tc>
        <w:tc>
          <w:tcPr>
            <w:tcW w:w="3023" w:type="pct"/>
            <w:noWrap/>
          </w:tcPr>
          <w:p w14:paraId="3E987A4A"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3.122.970,64 €</w:t>
            </w:r>
          </w:p>
        </w:tc>
      </w:tr>
      <w:tr w:rsidR="002A2422" w14:paraId="52B7516F"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1977" w:type="pct"/>
            <w:shd w:val="clear" w:color="auto" w:fill="EDEDED" w:themeFill="accent3" w:themeFillTint="33"/>
            <w:noWrap/>
          </w:tcPr>
          <w:p w14:paraId="3BA10345" w14:textId="77777777" w:rsidR="002A2422" w:rsidRDefault="003B3AD7">
            <w:pPr>
              <w:rPr>
                <w:rFonts w:ascii="Calibri" w:eastAsia="Times New Roman" w:hAnsi="Calibri" w:cs="Calibri"/>
                <w:color w:val="000000"/>
              </w:rPr>
            </w:pPr>
            <w:r>
              <w:rPr>
                <w:rFonts w:ascii="Calibri" w:eastAsia="Times New Roman" w:hAnsi="Calibri" w:cs="Calibri"/>
                <w:color w:val="000000"/>
              </w:rPr>
              <w:t>ΣΑΕ 814</w:t>
            </w:r>
          </w:p>
        </w:tc>
        <w:tc>
          <w:tcPr>
            <w:tcW w:w="3023" w:type="pct"/>
            <w:shd w:val="clear" w:color="auto" w:fill="EDEDED" w:themeFill="accent3" w:themeFillTint="33"/>
            <w:noWrap/>
          </w:tcPr>
          <w:p w14:paraId="2B0750E6"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882.984,76 €</w:t>
            </w:r>
          </w:p>
        </w:tc>
      </w:tr>
      <w:tr w:rsidR="002A2422" w14:paraId="7B994F61"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1977" w:type="pct"/>
            <w:shd w:val="clear" w:color="auto" w:fill="EDEDED" w:themeFill="accent3" w:themeFillTint="33"/>
            <w:noWrap/>
          </w:tcPr>
          <w:p w14:paraId="5DBBECE8" w14:textId="77777777" w:rsidR="002A2422" w:rsidRDefault="003B3AD7">
            <w:pPr>
              <w:rPr>
                <w:rFonts w:ascii="Calibri" w:eastAsia="Times New Roman" w:hAnsi="Calibri" w:cs="Calibri"/>
                <w:color w:val="000000"/>
              </w:rPr>
            </w:pPr>
            <w:r>
              <w:rPr>
                <w:rFonts w:ascii="Calibri" w:eastAsia="Times New Roman" w:hAnsi="Calibri" w:cs="Calibri"/>
                <w:color w:val="000000"/>
              </w:rPr>
              <w:t>ΣΑΜ 914</w:t>
            </w:r>
          </w:p>
        </w:tc>
        <w:tc>
          <w:tcPr>
            <w:tcW w:w="3023" w:type="pct"/>
            <w:shd w:val="clear" w:color="auto" w:fill="EDEDED" w:themeFill="accent3" w:themeFillTint="33"/>
            <w:noWrap/>
          </w:tcPr>
          <w:p w14:paraId="0D7C7B77"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429.000,00€</w:t>
            </w:r>
          </w:p>
        </w:tc>
      </w:tr>
      <w:tr w:rsidR="002A2422" w14:paraId="6C1879F3"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1977" w:type="pct"/>
            <w:noWrap/>
          </w:tcPr>
          <w:p w14:paraId="4387438F" w14:textId="77777777" w:rsidR="002A2422" w:rsidRDefault="003B3AD7">
            <w:pPr>
              <w:rPr>
                <w:rFonts w:ascii="Calibri" w:eastAsia="Times New Roman" w:hAnsi="Calibri" w:cs="Calibri"/>
                <w:color w:val="000000"/>
              </w:rPr>
            </w:pPr>
            <w:r>
              <w:rPr>
                <w:rFonts w:ascii="Calibri" w:eastAsia="Times New Roman" w:hAnsi="Calibri" w:cs="Calibri"/>
                <w:color w:val="000000"/>
              </w:rPr>
              <w:t>ΣΑΜ 014</w:t>
            </w:r>
          </w:p>
        </w:tc>
        <w:tc>
          <w:tcPr>
            <w:tcW w:w="3023" w:type="pct"/>
            <w:noWrap/>
          </w:tcPr>
          <w:p w14:paraId="3737A096"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237.348,80 €</w:t>
            </w:r>
          </w:p>
        </w:tc>
      </w:tr>
      <w:tr w:rsidR="002A2422" w14:paraId="62F74857"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1977" w:type="pct"/>
            <w:shd w:val="clear" w:color="auto" w:fill="EDEDED" w:themeFill="accent3" w:themeFillTint="33"/>
            <w:noWrap/>
          </w:tcPr>
          <w:p w14:paraId="020B48DB" w14:textId="77777777" w:rsidR="002A2422" w:rsidRDefault="003B3AD7">
            <w:pPr>
              <w:rPr>
                <w:rFonts w:ascii="Calibri" w:eastAsia="Times New Roman" w:hAnsi="Calibri" w:cs="Calibri"/>
                <w:color w:val="000000"/>
              </w:rPr>
            </w:pPr>
            <w:r>
              <w:rPr>
                <w:rFonts w:ascii="Calibri" w:eastAsia="Times New Roman" w:hAnsi="Calibri" w:cs="Calibri"/>
                <w:color w:val="000000"/>
              </w:rPr>
              <w:t>Γενικό Άθροισμα</w:t>
            </w:r>
          </w:p>
        </w:tc>
        <w:tc>
          <w:tcPr>
            <w:tcW w:w="3023" w:type="pct"/>
            <w:shd w:val="clear" w:color="auto" w:fill="EDEDED" w:themeFill="accent3" w:themeFillTint="33"/>
            <w:noWrap/>
          </w:tcPr>
          <w:p w14:paraId="05F6AA7E"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11.999.000,00 €</w:t>
            </w:r>
          </w:p>
        </w:tc>
      </w:tr>
    </w:tbl>
    <w:p w14:paraId="439F14A7" w14:textId="77777777" w:rsidR="002A2422" w:rsidRDefault="003B3AD7">
      <w:pPr>
        <w:rPr>
          <w:rFonts w:asciiTheme="minorHAnsi" w:hAnsiTheme="minorHAnsi" w:cstheme="minorHAnsi"/>
        </w:rPr>
      </w:pPr>
      <w:r>
        <w:rPr>
          <w:rFonts w:asciiTheme="minorHAnsi" w:hAnsiTheme="minorHAnsi" w:cstheme="minorHAnsi"/>
        </w:rPr>
        <w:t xml:space="preserve">Πίνακας 4: Εγκεκριμένες πιστώσεις έτους 2021  ανά ΣΑ </w:t>
      </w:r>
      <w:r>
        <w:rPr>
          <w:rFonts w:ascii="Times New Roman" w:eastAsia="Times New Roman" w:hAnsi="Times New Roman" w:cs="Times New Roman"/>
          <w:b/>
          <w:bCs/>
          <w:sz w:val="20"/>
          <w:szCs w:val="20"/>
        </w:rPr>
        <w:t>(στοιχεία 04.2021)</w:t>
      </w:r>
    </w:p>
    <w:p w14:paraId="48E81A2B" w14:textId="77777777" w:rsidR="002A2422" w:rsidRDefault="002A2422">
      <w:pPr>
        <w:tabs>
          <w:tab w:val="left" w:pos="1216"/>
        </w:tabs>
      </w:pPr>
    </w:p>
    <w:p w14:paraId="0B40B2C0" w14:textId="77777777" w:rsidR="002A2422" w:rsidRDefault="003B3AD7">
      <w:pPr>
        <w:tabs>
          <w:tab w:val="left" w:pos="1216"/>
        </w:tabs>
      </w:pPr>
      <w:r>
        <w:rPr>
          <w:noProof/>
        </w:rPr>
        <w:lastRenderedPageBreak/>
        <w:drawing>
          <wp:inline distT="0" distB="0" distL="0" distR="0" wp14:anchorId="458398AF" wp14:editId="648557C6">
            <wp:extent cx="5829300" cy="3467100"/>
            <wp:effectExtent l="0" t="0" r="0" b="0"/>
            <wp:docPr id="23" name="Γράφημα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161C08" w14:textId="77777777" w:rsidR="002A2422" w:rsidRDefault="003B3AD7">
      <w:pPr>
        <w:rPr>
          <w:rFonts w:asciiTheme="minorHAnsi" w:hAnsiTheme="minorHAnsi" w:cstheme="minorHAnsi"/>
        </w:rPr>
      </w:pPr>
      <w:r>
        <w:rPr>
          <w:rFonts w:asciiTheme="minorHAnsi" w:hAnsiTheme="minorHAnsi" w:cstheme="minorHAnsi"/>
        </w:rPr>
        <w:t xml:space="preserve">Διάγραμμα  3: Εγκεκριμένες πιστώσεις έτους 2021  ανά ΣΑ </w:t>
      </w:r>
      <w:r>
        <w:rPr>
          <w:rFonts w:ascii="Times New Roman" w:eastAsia="Times New Roman" w:hAnsi="Times New Roman" w:cs="Times New Roman"/>
          <w:b/>
          <w:bCs/>
          <w:sz w:val="20"/>
          <w:szCs w:val="20"/>
        </w:rPr>
        <w:t>(στοιχεία 04.2021)</w:t>
      </w:r>
    </w:p>
    <w:p w14:paraId="073E4629" w14:textId="77777777" w:rsidR="002A2422" w:rsidRDefault="002A2422">
      <w:pPr>
        <w:rPr>
          <w:rFonts w:asciiTheme="minorHAnsi" w:hAnsiTheme="minorHAnsi" w:cstheme="minorHAnsi"/>
          <w:sz w:val="20"/>
          <w:szCs w:val="20"/>
        </w:rPr>
      </w:pPr>
    </w:p>
    <w:p w14:paraId="7B1651E8" w14:textId="77777777" w:rsidR="002A2422" w:rsidRDefault="002A2422">
      <w:pPr>
        <w:ind w:firstLine="720"/>
        <w:rPr>
          <w:rFonts w:asciiTheme="minorHAnsi" w:hAnsiTheme="minorHAnsi" w:cstheme="minorHAnsi"/>
          <w:sz w:val="20"/>
          <w:szCs w:val="20"/>
        </w:rPr>
      </w:pPr>
    </w:p>
    <w:p w14:paraId="22512845" w14:textId="77777777" w:rsidR="002A2422" w:rsidRDefault="003B3AD7">
      <w:pPr>
        <w:spacing w:before="60" w:after="6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Από την ανάλυση των στοιχείων των έργων και μελετών που έχουν ενταχθεί στο Εθνικό ΠΔΕ προκύπτουν τα εξής συμπεράσματα:</w:t>
      </w:r>
    </w:p>
    <w:p w14:paraId="1E82A3A1" w14:textId="77777777" w:rsidR="002A2422" w:rsidRDefault="003B3AD7">
      <w:pPr>
        <w:pStyle w:val="ad"/>
        <w:numPr>
          <w:ilvl w:val="0"/>
          <w:numId w:val="8"/>
        </w:numPr>
        <w:suppressAutoHyphens/>
        <w:autoSpaceDN w:val="0"/>
        <w:spacing w:before="60" w:after="60"/>
        <w:contextualSpacing w:val="0"/>
        <w:textAlignment w:val="baseline"/>
        <w:rPr>
          <w:rFonts w:asciiTheme="minorHAnsi" w:hAnsiTheme="minorHAnsi" w:cstheme="minorHAnsi"/>
          <w:bCs/>
          <w:sz w:val="24"/>
          <w:szCs w:val="24"/>
        </w:rPr>
      </w:pPr>
      <w:r>
        <w:rPr>
          <w:rFonts w:asciiTheme="minorHAnsi" w:hAnsiTheme="minorHAnsi" w:cstheme="minorHAnsi"/>
          <w:bCs/>
          <w:sz w:val="24"/>
          <w:szCs w:val="24"/>
        </w:rPr>
        <w:t>Το ποσοστό απορρόφησης του εθνικού σκέλους του  ΠΔΕ κινείται σχετικά σε χαμηλά επίπεδα με αποτέλεσμα να λιμνάζουν οι διαθέσιμοι οικονομικοί πόροι.</w:t>
      </w:r>
    </w:p>
    <w:p w14:paraId="14CC12AF" w14:textId="77777777" w:rsidR="002A2422" w:rsidRDefault="003B3AD7">
      <w:pPr>
        <w:pStyle w:val="ad"/>
        <w:numPr>
          <w:ilvl w:val="0"/>
          <w:numId w:val="8"/>
        </w:numPr>
        <w:suppressAutoHyphens/>
        <w:autoSpaceDN w:val="0"/>
        <w:spacing w:before="60" w:after="60"/>
        <w:contextualSpacing w:val="0"/>
        <w:textAlignment w:val="baseline"/>
        <w:rPr>
          <w:rFonts w:asciiTheme="minorHAnsi" w:hAnsiTheme="minorHAnsi" w:cstheme="minorHAnsi"/>
          <w:bCs/>
          <w:sz w:val="24"/>
          <w:szCs w:val="24"/>
        </w:rPr>
      </w:pPr>
      <w:r>
        <w:rPr>
          <w:rFonts w:asciiTheme="minorHAnsi" w:hAnsiTheme="minorHAnsi" w:cstheme="minorHAnsi"/>
          <w:bCs/>
          <w:sz w:val="24"/>
          <w:szCs w:val="24"/>
        </w:rPr>
        <w:t>Τα έργα που έχουν ενταχθεί στο εθνικό ΠΔΕ θα μπορούσαν να ενταχθούν στα Επιχειρησιακά Προγράμματα του ΕΣΠΑ 2014-2020, δίνοντας έτσι τη δυνατότητα να χρηματοδοτηθούν άλλες δράσεις, οι οποίες δεν θα μπορούσαν να είναι επιλέξιμες για χρηματοδότηση από τα ΕΔΕΤ της περιόδου 2014-2020.</w:t>
      </w:r>
    </w:p>
    <w:p w14:paraId="73F58A14" w14:textId="77777777" w:rsidR="002A2422" w:rsidRDefault="003B3AD7">
      <w:pPr>
        <w:pStyle w:val="ad"/>
        <w:numPr>
          <w:ilvl w:val="0"/>
          <w:numId w:val="8"/>
        </w:numPr>
        <w:suppressAutoHyphens/>
        <w:autoSpaceDN w:val="0"/>
        <w:spacing w:before="60" w:after="60"/>
        <w:contextualSpacing w:val="0"/>
        <w:textAlignment w:val="baseline"/>
        <w:rPr>
          <w:rFonts w:asciiTheme="minorHAnsi" w:hAnsiTheme="minorHAnsi" w:cstheme="minorHAnsi"/>
          <w:bCs/>
          <w:sz w:val="24"/>
          <w:szCs w:val="24"/>
        </w:rPr>
      </w:pPr>
      <w:r>
        <w:rPr>
          <w:rFonts w:asciiTheme="minorHAnsi" w:hAnsiTheme="minorHAnsi" w:cstheme="minorHAnsi"/>
          <w:bCs/>
          <w:sz w:val="24"/>
          <w:szCs w:val="24"/>
        </w:rPr>
        <w:t>Τα έργα που αφορούν σε επεμβάσεις σε μουσεία αφορούν σε μεγάλο βαθμό στην ολοκλήρωση της λειτουργικότητας των μουσείων που έχουν ήδη ενταχθεί σε ΕΠ του ΕΣΠΑ 2014-2020 (ενδεικτικά, Μουσείο Χανίων, Μουσείο Αρέθουσας, Μουσείο Ορχομενού) αποδεικνύοντας την έλλειψη ολοκληρωμένου σχεδιασμού στην κατασκευή των μουσείων.</w:t>
      </w:r>
    </w:p>
    <w:p w14:paraId="2DBF1E8C" w14:textId="77777777" w:rsidR="002A2422" w:rsidRDefault="003B3AD7">
      <w:pPr>
        <w:pStyle w:val="ad"/>
        <w:numPr>
          <w:ilvl w:val="0"/>
          <w:numId w:val="8"/>
        </w:numPr>
        <w:suppressAutoHyphens/>
        <w:autoSpaceDN w:val="0"/>
        <w:spacing w:before="60" w:after="60"/>
        <w:contextualSpacing w:val="0"/>
        <w:textAlignment w:val="baseline"/>
        <w:rPr>
          <w:rFonts w:asciiTheme="minorHAnsi" w:hAnsiTheme="minorHAnsi" w:cstheme="minorHAnsi"/>
          <w:bCs/>
          <w:sz w:val="24"/>
          <w:szCs w:val="24"/>
        </w:rPr>
      </w:pPr>
      <w:r>
        <w:rPr>
          <w:rFonts w:asciiTheme="minorHAnsi" w:hAnsiTheme="minorHAnsi" w:cstheme="minorHAnsi"/>
          <w:bCs/>
          <w:sz w:val="24"/>
          <w:szCs w:val="24"/>
        </w:rPr>
        <w:t xml:space="preserve">Απουσία μεσοπρόθεσμου σχεδιασμού και ολιστικής προσέγγισης για την κατάρτιση του εθνικού ΠΔΕ. </w:t>
      </w:r>
    </w:p>
    <w:p w14:paraId="1803AF50" w14:textId="77777777" w:rsidR="002A2422" w:rsidRDefault="002A2422">
      <w:pPr>
        <w:pStyle w:val="ad"/>
        <w:suppressAutoHyphens/>
        <w:autoSpaceDN w:val="0"/>
        <w:spacing w:before="60" w:after="60"/>
        <w:contextualSpacing w:val="0"/>
        <w:textAlignment w:val="baseline"/>
        <w:rPr>
          <w:rFonts w:asciiTheme="minorHAnsi" w:hAnsiTheme="minorHAnsi" w:cstheme="minorHAnsi"/>
          <w:bCs/>
          <w:sz w:val="24"/>
          <w:szCs w:val="24"/>
        </w:rPr>
      </w:pPr>
    </w:p>
    <w:p w14:paraId="60694A5B" w14:textId="77777777" w:rsidR="002A2422" w:rsidRDefault="003B3AD7">
      <w:pPr>
        <w:pStyle w:val="3"/>
      </w:pPr>
      <w:bookmarkStart w:id="36" w:name="_Toc68011194"/>
      <w:bookmarkStart w:id="37" w:name="_Toc73665478"/>
      <w:proofErr w:type="spellStart"/>
      <w:r>
        <w:lastRenderedPageBreak/>
        <w:t>Συγχρηματοδούμενο</w:t>
      </w:r>
      <w:proofErr w:type="spellEnd"/>
      <w:r>
        <w:t xml:space="preserve"> Πρόγραμμα Δημοσίων Επενδύσεων</w:t>
      </w:r>
      <w:bookmarkEnd w:id="36"/>
      <w:bookmarkEnd w:id="37"/>
    </w:p>
    <w:p w14:paraId="42566B09" w14:textId="77777777" w:rsidR="002A2422" w:rsidRDefault="003B3AD7">
      <w:pPr>
        <w:pStyle w:val="Web"/>
        <w:shd w:val="clear" w:color="auto" w:fill="FFFFFF"/>
        <w:spacing w:before="0" w:after="0" w:line="360" w:lineRule="auto"/>
        <w:jc w:val="both"/>
        <w:rPr>
          <w:rFonts w:asciiTheme="minorHAnsi" w:hAnsiTheme="minorHAnsi" w:cstheme="minorHAnsi"/>
          <w:color w:val="000000"/>
        </w:rPr>
      </w:pPr>
      <w:r>
        <w:rPr>
          <w:rFonts w:asciiTheme="minorHAnsi" w:hAnsiTheme="minorHAnsi" w:cstheme="minorHAnsi"/>
          <w:color w:val="000000"/>
        </w:rPr>
        <w:t>Σύμφωνα με τα τελευταία διαθέσιμα στοιχεία (</w:t>
      </w:r>
      <w:r>
        <w:rPr>
          <w:rStyle w:val="a8"/>
          <w:rFonts w:asciiTheme="minorHAnsi" w:eastAsia="Tahoma" w:hAnsiTheme="minorHAnsi" w:cstheme="minorHAnsi"/>
          <w:b/>
          <w:bCs/>
          <w:color w:val="000000"/>
        </w:rPr>
        <w:t>στοιχεία από την ΕΔΕΠΟΛ</w:t>
      </w:r>
      <w:r>
        <w:rPr>
          <w:rFonts w:asciiTheme="minorHAnsi" w:hAnsiTheme="minorHAnsi" w:cstheme="minorHAnsi"/>
          <w:color w:val="000000"/>
        </w:rPr>
        <w:t xml:space="preserve">) έχουν ενταχθεί στα Επιχειρησιακά Προγράμματα του ΕΣΠΑ 2014-2020, 318 πράξεις στον τομέα της πολιτιστικής κληρονομιάς και στον τομέα του σύγχρονου πολιτισμού, με τον προϋπολογισμό (συνολική δημόσια δαπάνη) να ανέρχεται στο ποσό των </w:t>
      </w:r>
      <w:r>
        <w:rPr>
          <w:rFonts w:ascii="Calibri" w:hAnsi="Calibri" w:cs="Calibri"/>
          <w:b/>
          <w:bCs/>
          <w:color w:val="000000"/>
        </w:rPr>
        <w:t>340.858.433,31 € (στοιχεία 04.2021).</w:t>
      </w:r>
    </w:p>
    <w:p w14:paraId="08551A48" w14:textId="77777777" w:rsidR="002A2422" w:rsidRDefault="003B3AD7">
      <w:pPr>
        <w:rPr>
          <w:rFonts w:asciiTheme="minorHAnsi" w:hAnsiTheme="minorHAnsi" w:cstheme="minorHAnsi"/>
          <w:sz w:val="24"/>
          <w:szCs w:val="24"/>
        </w:rPr>
      </w:pPr>
      <w:r>
        <w:rPr>
          <w:rFonts w:asciiTheme="minorHAnsi" w:hAnsiTheme="minorHAnsi" w:cstheme="minorHAnsi"/>
          <w:color w:val="000000"/>
          <w:sz w:val="24"/>
          <w:szCs w:val="24"/>
        </w:rPr>
        <w:t xml:space="preserve">Οι νομικές δεσμεύσεις ανέρχονται στο ποσό των </w:t>
      </w:r>
      <w:r>
        <w:rPr>
          <w:rFonts w:asciiTheme="minorHAnsi" w:hAnsiTheme="minorHAnsi" w:cstheme="minorHAnsi"/>
          <w:sz w:val="24"/>
          <w:szCs w:val="24"/>
        </w:rPr>
        <w:t>249.922.944 €</w:t>
      </w:r>
      <w:r>
        <w:rPr>
          <w:rFonts w:asciiTheme="minorHAnsi" w:hAnsiTheme="minorHAnsi" w:cstheme="minorHAnsi"/>
          <w:b/>
          <w:color w:val="000000"/>
          <w:sz w:val="24"/>
          <w:szCs w:val="24"/>
        </w:rPr>
        <w:t xml:space="preserve"> </w:t>
      </w:r>
      <w:r>
        <w:rPr>
          <w:rFonts w:asciiTheme="minorHAnsi" w:hAnsiTheme="minorHAnsi" w:cstheme="minorHAnsi"/>
          <w:color w:val="000000"/>
          <w:sz w:val="24"/>
          <w:szCs w:val="24"/>
        </w:rPr>
        <w:t xml:space="preserve">που αντιστοιχεί σε ποσοστό </w:t>
      </w:r>
      <w:r>
        <w:rPr>
          <w:rFonts w:asciiTheme="minorHAnsi" w:hAnsiTheme="minorHAnsi" w:cstheme="minorHAnsi"/>
          <w:b/>
          <w:color w:val="000000"/>
          <w:sz w:val="24"/>
          <w:szCs w:val="24"/>
        </w:rPr>
        <w:t>73,3%</w:t>
      </w:r>
      <w:r>
        <w:rPr>
          <w:rFonts w:asciiTheme="minorHAnsi" w:hAnsiTheme="minorHAnsi" w:cstheme="minorHAnsi"/>
          <w:color w:val="000000"/>
          <w:sz w:val="24"/>
          <w:szCs w:val="24"/>
        </w:rPr>
        <w:t xml:space="preserve"> του συνολικού προϋπολογισμού. Οι συνολικές πληρωμές των πράξεων ανέρχονται στο ποσό των </w:t>
      </w:r>
      <w:r>
        <w:rPr>
          <w:rFonts w:asciiTheme="minorHAnsi" w:hAnsiTheme="minorHAnsi" w:cstheme="minorHAnsi"/>
          <w:sz w:val="24"/>
          <w:szCs w:val="24"/>
        </w:rPr>
        <w:t>100.018.406 €</w:t>
      </w:r>
      <w:r>
        <w:rPr>
          <w:rFonts w:asciiTheme="minorHAnsi" w:hAnsiTheme="minorHAnsi" w:cstheme="minorHAnsi"/>
          <w:color w:val="000000"/>
          <w:sz w:val="24"/>
          <w:szCs w:val="24"/>
        </w:rPr>
        <w:t>και αντιστοιχούν σε ποσοστό</w:t>
      </w:r>
      <w:r>
        <w:rPr>
          <w:rStyle w:val="apple-converted-space"/>
          <w:rFonts w:asciiTheme="minorHAnsi" w:hAnsiTheme="minorHAnsi" w:cstheme="minorHAnsi"/>
          <w:color w:val="000000"/>
          <w:sz w:val="24"/>
          <w:szCs w:val="24"/>
        </w:rPr>
        <w:t> </w:t>
      </w:r>
      <w:r>
        <w:rPr>
          <w:rStyle w:val="ab"/>
          <w:rFonts w:asciiTheme="minorHAnsi" w:hAnsiTheme="minorHAnsi" w:cstheme="minorHAnsi"/>
          <w:color w:val="000000"/>
          <w:sz w:val="24"/>
          <w:szCs w:val="24"/>
        </w:rPr>
        <w:t>29,4%</w:t>
      </w:r>
      <w:r>
        <w:rPr>
          <w:rStyle w:val="apple-converted-space"/>
          <w:rFonts w:asciiTheme="minorHAnsi" w:hAnsiTheme="minorHAnsi" w:cstheme="minorHAnsi"/>
          <w:color w:val="000000"/>
          <w:sz w:val="24"/>
          <w:szCs w:val="24"/>
        </w:rPr>
        <w:t xml:space="preserve"> της συνολικής διαθέσιμης Δημόσιας Δαπάνης και στο </w:t>
      </w:r>
      <w:r>
        <w:rPr>
          <w:rStyle w:val="apple-converted-space"/>
          <w:rFonts w:asciiTheme="minorHAnsi" w:hAnsiTheme="minorHAnsi" w:cstheme="minorHAnsi"/>
          <w:b/>
          <w:color w:val="000000"/>
          <w:sz w:val="24"/>
          <w:szCs w:val="24"/>
        </w:rPr>
        <w:t>40%</w:t>
      </w:r>
      <w:r>
        <w:rPr>
          <w:rStyle w:val="apple-converted-space"/>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των Νομικών Δεσμεύσεων. </w:t>
      </w:r>
    </w:p>
    <w:p w14:paraId="43DDDFBF" w14:textId="77777777" w:rsidR="002A2422" w:rsidRDefault="002A2422">
      <w:pPr>
        <w:pStyle w:val="Web"/>
        <w:shd w:val="clear" w:color="auto" w:fill="FFFFFF"/>
        <w:spacing w:before="0" w:after="0" w:line="360" w:lineRule="auto"/>
        <w:jc w:val="both"/>
        <w:rPr>
          <w:rFonts w:asciiTheme="minorHAnsi" w:hAnsiTheme="minorHAnsi" w:cstheme="minorHAnsi"/>
        </w:rPr>
      </w:pPr>
    </w:p>
    <w:p w14:paraId="31DD86F1" w14:textId="77777777" w:rsidR="002A2422" w:rsidRDefault="003B3AD7">
      <w:pPr>
        <w:pStyle w:val="1"/>
        <w:numPr>
          <w:ilvl w:val="0"/>
          <w:numId w:val="0"/>
        </w:numPr>
        <w:ind w:left="1134" w:hanging="1134"/>
        <w:rPr>
          <w:sz w:val="22"/>
          <w:szCs w:val="22"/>
        </w:rPr>
      </w:pPr>
      <w:bookmarkStart w:id="38" w:name="_Toc73665479"/>
      <w:r>
        <w:rPr>
          <w:sz w:val="22"/>
          <w:szCs w:val="22"/>
        </w:rPr>
        <w:t>Ενταγμένα  Έργα ΕΣΠΑ 2014 – 2020 και προγράμματα εδαφικής συνεργασίας</w:t>
      </w:r>
      <w:bookmarkEnd w:id="38"/>
    </w:p>
    <w:p w14:paraId="1A8E9C40" w14:textId="77777777" w:rsidR="002A2422" w:rsidRDefault="002A2422"/>
    <w:tbl>
      <w:tblPr>
        <w:tblStyle w:val="5-31"/>
        <w:tblW w:w="5000" w:type="pct"/>
        <w:tblLook w:val="04A0" w:firstRow="1" w:lastRow="0" w:firstColumn="1" w:lastColumn="0" w:noHBand="0" w:noVBand="1"/>
      </w:tblPr>
      <w:tblGrid>
        <w:gridCol w:w="5718"/>
        <w:gridCol w:w="3925"/>
      </w:tblGrid>
      <w:tr w:rsidR="002A2422" w14:paraId="3B3A5DE4" w14:textId="77777777" w:rsidTr="002A24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6C0D0EC6" w14:textId="77777777" w:rsidR="002A2422" w:rsidRDefault="003B3AD7">
            <w:pPr>
              <w:rPr>
                <w:rFonts w:ascii="Calibri" w:eastAsia="Times New Roman" w:hAnsi="Calibri" w:cs="Calibri"/>
                <w:color w:val="000000"/>
              </w:rPr>
            </w:pPr>
            <w:r>
              <w:rPr>
                <w:rFonts w:ascii="Calibri" w:eastAsia="Times New Roman" w:hAnsi="Calibri" w:cs="Calibri"/>
                <w:color w:val="000000"/>
              </w:rPr>
              <w:t xml:space="preserve">ΕΠΙΧΕΙΡΗΣΙΑΚΟ ΠΡΟΓΡΑΜΜΑ </w:t>
            </w:r>
          </w:p>
        </w:tc>
        <w:tc>
          <w:tcPr>
            <w:tcW w:w="2038" w:type="pct"/>
            <w:noWrap/>
          </w:tcPr>
          <w:p w14:paraId="4BFCC5BA" w14:textId="77777777" w:rsidR="002A2422" w:rsidRDefault="003B3AD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ΣΥΝΟΛΙΚΗ ΔΗΜΟΣΙΑ ΔΑΠΑΝΗ / ΕΠΙΧ. ΠΡΟΓΡΑΜΜΑ  </w:t>
            </w:r>
          </w:p>
        </w:tc>
      </w:tr>
      <w:tr w:rsidR="002A2422" w14:paraId="227F2C5F"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4930CE31" w14:textId="77777777" w:rsidR="002A2422" w:rsidRDefault="003B3AD7">
            <w:pPr>
              <w:rPr>
                <w:rFonts w:ascii="Calibri" w:eastAsia="Times New Roman" w:hAnsi="Calibri" w:cs="Calibri"/>
                <w:color w:val="000000"/>
              </w:rPr>
            </w:pPr>
            <w:r>
              <w:rPr>
                <w:rFonts w:ascii="Calibri" w:eastAsia="Times New Roman" w:hAnsi="Calibri" w:cs="Calibri"/>
                <w:color w:val="000000"/>
              </w:rPr>
              <w:t>INTERREG- MED</w:t>
            </w:r>
          </w:p>
        </w:tc>
        <w:tc>
          <w:tcPr>
            <w:tcW w:w="2038" w:type="pct"/>
            <w:shd w:val="clear" w:color="auto" w:fill="DBDBDB" w:themeFill="accent3" w:themeFillTint="66"/>
            <w:noWrap/>
          </w:tcPr>
          <w:p w14:paraId="706309E3"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140.000,00 €</w:t>
            </w:r>
          </w:p>
        </w:tc>
      </w:tr>
      <w:tr w:rsidR="002A2422" w14:paraId="2699C4A9"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03D6095D" w14:textId="77777777" w:rsidR="002A2422" w:rsidRDefault="003B3AD7">
            <w:pPr>
              <w:rPr>
                <w:rFonts w:ascii="Calibri" w:eastAsia="Times New Roman" w:hAnsi="Calibri" w:cs="Calibri"/>
                <w:color w:val="000000"/>
                <w:lang w:val="en-US"/>
              </w:rPr>
            </w:pPr>
            <w:r>
              <w:rPr>
                <w:rFonts w:ascii="Calibri" w:eastAsia="Times New Roman" w:hAnsi="Calibri" w:cs="Calibri"/>
                <w:color w:val="000000"/>
                <w:lang w:val="en-US"/>
              </w:rPr>
              <w:t xml:space="preserve">INTERREG V-A </w:t>
            </w:r>
            <w:r>
              <w:rPr>
                <w:rFonts w:ascii="Calibri" w:eastAsia="Times New Roman" w:hAnsi="Calibri" w:cs="Calibri"/>
                <w:color w:val="000000"/>
              </w:rPr>
              <w:t>ΕΛΛΑΔΑ</w:t>
            </w:r>
            <w:r>
              <w:rPr>
                <w:rFonts w:ascii="Calibri" w:eastAsia="Times New Roman" w:hAnsi="Calibri" w:cs="Calibri"/>
                <w:color w:val="000000"/>
                <w:lang w:val="en-US"/>
              </w:rPr>
              <w:t>-</w:t>
            </w:r>
            <w:r>
              <w:rPr>
                <w:rFonts w:ascii="Calibri" w:eastAsia="Times New Roman" w:hAnsi="Calibri" w:cs="Calibri"/>
                <w:color w:val="000000"/>
              </w:rPr>
              <w:t>ΚΥΠΡΟΣ</w:t>
            </w:r>
          </w:p>
        </w:tc>
        <w:tc>
          <w:tcPr>
            <w:tcW w:w="2038" w:type="pct"/>
            <w:noWrap/>
          </w:tcPr>
          <w:p w14:paraId="4531E7E3"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1.628.770,00 €</w:t>
            </w:r>
          </w:p>
        </w:tc>
      </w:tr>
      <w:tr w:rsidR="002A2422" w14:paraId="0341ADA2"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741A4F06" w14:textId="77777777" w:rsidR="002A2422" w:rsidRDefault="003B3AD7">
            <w:pPr>
              <w:rPr>
                <w:rFonts w:ascii="Calibri" w:eastAsia="Times New Roman" w:hAnsi="Calibri" w:cs="Calibri"/>
                <w:color w:val="000000"/>
                <w:lang w:val="en-US"/>
              </w:rPr>
            </w:pPr>
            <w:r>
              <w:rPr>
                <w:rFonts w:ascii="Calibri" w:eastAsia="Times New Roman" w:hAnsi="Calibri" w:cs="Calibri"/>
                <w:color w:val="000000"/>
                <w:lang w:val="en-US"/>
              </w:rPr>
              <w:t xml:space="preserve">INTERREG V-B  BALKAN MEDITERRANEAN </w:t>
            </w:r>
          </w:p>
        </w:tc>
        <w:tc>
          <w:tcPr>
            <w:tcW w:w="2038" w:type="pct"/>
            <w:shd w:val="clear" w:color="auto" w:fill="DBDBDB" w:themeFill="accent3" w:themeFillTint="66"/>
            <w:noWrap/>
          </w:tcPr>
          <w:p w14:paraId="30568BE5"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170.060,00 €</w:t>
            </w:r>
          </w:p>
        </w:tc>
      </w:tr>
      <w:tr w:rsidR="002A2422" w14:paraId="5632EE7B"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09AEC060" w14:textId="77777777" w:rsidR="002A2422" w:rsidRDefault="003B3AD7">
            <w:pPr>
              <w:rPr>
                <w:rFonts w:ascii="Calibri" w:eastAsia="Times New Roman" w:hAnsi="Calibri" w:cs="Calibri"/>
                <w:color w:val="000000"/>
                <w:lang w:val="en-US"/>
              </w:rPr>
            </w:pPr>
            <w:r>
              <w:rPr>
                <w:rFonts w:ascii="Calibri" w:eastAsia="Times New Roman" w:hAnsi="Calibri" w:cs="Calibri"/>
                <w:color w:val="000000"/>
                <w:lang w:val="en-US"/>
              </w:rPr>
              <w:t>INTERREG V-B Adriatic-Ionian ADRION</w:t>
            </w:r>
          </w:p>
        </w:tc>
        <w:tc>
          <w:tcPr>
            <w:tcW w:w="2038" w:type="pct"/>
            <w:noWrap/>
          </w:tcPr>
          <w:p w14:paraId="1016CFEA"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172.757,20 €</w:t>
            </w:r>
          </w:p>
        </w:tc>
      </w:tr>
      <w:tr w:rsidR="002A2422" w14:paraId="53540BD6"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7AF3D543" w14:textId="77777777" w:rsidR="002A2422" w:rsidRDefault="003B3AD7">
            <w:pPr>
              <w:rPr>
                <w:rFonts w:ascii="Calibri" w:eastAsia="Times New Roman" w:hAnsi="Calibri" w:cs="Calibri"/>
                <w:color w:val="000000"/>
              </w:rPr>
            </w:pPr>
            <w:r>
              <w:rPr>
                <w:rFonts w:ascii="Calibri" w:eastAsia="Times New Roman" w:hAnsi="Calibri" w:cs="Calibri"/>
                <w:color w:val="000000"/>
              </w:rPr>
              <w:t>INTERREG ΕΛΛΑΔΑ - ΒΟΥΛΓΑΡΙΑ 2014 -2020</w:t>
            </w:r>
          </w:p>
        </w:tc>
        <w:tc>
          <w:tcPr>
            <w:tcW w:w="2038" w:type="pct"/>
            <w:shd w:val="clear" w:color="auto" w:fill="DBDBDB" w:themeFill="accent3" w:themeFillTint="66"/>
            <w:noWrap/>
          </w:tcPr>
          <w:p w14:paraId="77495523"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506.000,00 €</w:t>
            </w:r>
          </w:p>
        </w:tc>
      </w:tr>
      <w:tr w:rsidR="002A2422" w14:paraId="7CD4E6BC"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5A56EEC7" w14:textId="77777777" w:rsidR="002A2422" w:rsidRDefault="003B3AD7">
            <w:pPr>
              <w:rPr>
                <w:rFonts w:ascii="Calibri" w:eastAsia="Times New Roman" w:hAnsi="Calibri" w:cs="Calibri"/>
                <w:color w:val="000000"/>
              </w:rPr>
            </w:pPr>
            <w:r>
              <w:rPr>
                <w:rFonts w:ascii="Calibri" w:eastAsia="Times New Roman" w:hAnsi="Calibri" w:cs="Calibri"/>
                <w:color w:val="000000"/>
              </w:rPr>
              <w:t>INTERREG ΕΛΛΑΔΑ – ΙΤΑΛΙΑ</w:t>
            </w:r>
          </w:p>
        </w:tc>
        <w:tc>
          <w:tcPr>
            <w:tcW w:w="2038" w:type="pct"/>
            <w:noWrap/>
          </w:tcPr>
          <w:p w14:paraId="5413208F"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5.869.946,80 €</w:t>
            </w:r>
          </w:p>
        </w:tc>
      </w:tr>
      <w:tr w:rsidR="002A2422" w14:paraId="70BD2FB4"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0EA4C3DE" w14:textId="77777777" w:rsidR="002A2422" w:rsidRDefault="003B3AD7">
            <w:pPr>
              <w:rPr>
                <w:rFonts w:ascii="Calibri" w:eastAsia="Times New Roman" w:hAnsi="Calibri" w:cs="Calibri"/>
                <w:color w:val="000000"/>
              </w:rPr>
            </w:pPr>
            <w:r>
              <w:rPr>
                <w:rFonts w:ascii="Calibri" w:eastAsia="Times New Roman" w:hAnsi="Calibri" w:cs="Calibri"/>
                <w:color w:val="000000"/>
              </w:rPr>
              <w:t xml:space="preserve">INTERREG ΕΛΛΑΔΑ-FYROM </w:t>
            </w:r>
          </w:p>
        </w:tc>
        <w:tc>
          <w:tcPr>
            <w:tcW w:w="2038" w:type="pct"/>
            <w:shd w:val="clear" w:color="auto" w:fill="DBDBDB" w:themeFill="accent3" w:themeFillTint="66"/>
            <w:noWrap/>
          </w:tcPr>
          <w:p w14:paraId="61FAE201"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90.577,00 €</w:t>
            </w:r>
          </w:p>
        </w:tc>
      </w:tr>
      <w:tr w:rsidR="002A2422" w14:paraId="01C428AF"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24DC0973" w14:textId="77777777" w:rsidR="002A2422" w:rsidRDefault="003B3AD7">
            <w:pPr>
              <w:rPr>
                <w:rFonts w:ascii="Calibri" w:eastAsia="Times New Roman" w:hAnsi="Calibri" w:cs="Calibri"/>
                <w:color w:val="000000"/>
              </w:rPr>
            </w:pPr>
            <w:r>
              <w:rPr>
                <w:rFonts w:ascii="Calibri" w:eastAsia="Times New Roman" w:hAnsi="Calibri" w:cs="Calibri"/>
                <w:color w:val="000000"/>
              </w:rPr>
              <w:t>INTERREG ΕΛΛΑΔΑ-ΑΛΒΑΝΙΑ</w:t>
            </w:r>
          </w:p>
        </w:tc>
        <w:tc>
          <w:tcPr>
            <w:tcW w:w="2038" w:type="pct"/>
            <w:noWrap/>
          </w:tcPr>
          <w:p w14:paraId="28633A66"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994.481,80 €</w:t>
            </w:r>
          </w:p>
        </w:tc>
      </w:tr>
      <w:tr w:rsidR="002A2422" w14:paraId="637D3206"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5D597BF1" w14:textId="77777777" w:rsidR="002A2422" w:rsidRDefault="003B3AD7">
            <w:pPr>
              <w:rPr>
                <w:rFonts w:ascii="Calibri" w:eastAsia="Times New Roman" w:hAnsi="Calibri" w:cs="Calibri"/>
                <w:color w:val="000000"/>
              </w:rPr>
            </w:pPr>
            <w:r>
              <w:rPr>
                <w:rFonts w:ascii="Calibri" w:eastAsia="Times New Roman" w:hAnsi="Calibri" w:cs="Calibri"/>
                <w:color w:val="000000"/>
              </w:rPr>
              <w:t>ΑΝΑΠΤΥΞΗ ΑΝΘΡΩΠΙΝΟΥ ΔΥΝΑΜΙΚΟΥ ΕΚΠΑΙΔΕΥΣΗ ΚΑΙ ΔΙΑ ΒΙΟΥ ΜΑΘΗΣΗ</w:t>
            </w:r>
          </w:p>
        </w:tc>
        <w:tc>
          <w:tcPr>
            <w:tcW w:w="2038" w:type="pct"/>
            <w:shd w:val="clear" w:color="auto" w:fill="DBDBDB" w:themeFill="accent3" w:themeFillTint="66"/>
            <w:noWrap/>
          </w:tcPr>
          <w:p w14:paraId="4CF4B980"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5.751.357,92 €</w:t>
            </w:r>
          </w:p>
        </w:tc>
      </w:tr>
      <w:tr w:rsidR="002A2422" w14:paraId="503D17AE"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54F4F7CE" w14:textId="77777777" w:rsidR="002A2422" w:rsidRDefault="003B3AD7">
            <w:pPr>
              <w:rPr>
                <w:rFonts w:ascii="Calibri" w:eastAsia="Times New Roman" w:hAnsi="Calibri" w:cs="Calibri"/>
                <w:color w:val="000000"/>
              </w:rPr>
            </w:pPr>
            <w:r>
              <w:rPr>
                <w:rFonts w:ascii="Calibri" w:eastAsia="Times New Roman" w:hAnsi="Calibri" w:cs="Calibri"/>
                <w:color w:val="000000"/>
              </w:rPr>
              <w:t>ΑΝΑΤΟΛΙΚΗ ΜΑΚΕΔΟΝΙΑ ΘΡΑΚΗ</w:t>
            </w:r>
          </w:p>
        </w:tc>
        <w:tc>
          <w:tcPr>
            <w:tcW w:w="2038" w:type="pct"/>
            <w:noWrap/>
          </w:tcPr>
          <w:p w14:paraId="54D37BB1"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33.308.816,45 €</w:t>
            </w:r>
          </w:p>
        </w:tc>
      </w:tr>
      <w:tr w:rsidR="002A2422" w14:paraId="3DDA5E6B"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52C25B02" w14:textId="77777777" w:rsidR="002A2422" w:rsidRDefault="003B3AD7">
            <w:pPr>
              <w:rPr>
                <w:rFonts w:ascii="Calibri" w:eastAsia="Times New Roman" w:hAnsi="Calibri" w:cs="Calibri"/>
                <w:color w:val="000000"/>
              </w:rPr>
            </w:pPr>
            <w:r>
              <w:rPr>
                <w:rFonts w:ascii="Calibri" w:eastAsia="Times New Roman" w:hAnsi="Calibri" w:cs="Calibri"/>
                <w:color w:val="000000"/>
              </w:rPr>
              <w:t>ΑΝΤΑΓΩΝΙΣΤΙΚΟΤΗΤΑ ΕΠΙΧΕΙΡΗΜΑΤΙΚΟΤΗΤΑ ΚΑΙ ΚΑΙΝΟΤΟΜΙΑ</w:t>
            </w:r>
          </w:p>
        </w:tc>
        <w:tc>
          <w:tcPr>
            <w:tcW w:w="2038" w:type="pct"/>
            <w:shd w:val="clear" w:color="auto" w:fill="DBDBDB" w:themeFill="accent3" w:themeFillTint="66"/>
            <w:noWrap/>
          </w:tcPr>
          <w:p w14:paraId="052A2BAE"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54.258.835,15 €</w:t>
            </w:r>
          </w:p>
        </w:tc>
      </w:tr>
      <w:tr w:rsidR="002A2422" w14:paraId="7B08545E"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7D650F27" w14:textId="77777777" w:rsidR="002A2422" w:rsidRDefault="003B3AD7">
            <w:pPr>
              <w:rPr>
                <w:rFonts w:ascii="Calibri" w:eastAsia="Times New Roman" w:hAnsi="Calibri" w:cs="Calibri"/>
                <w:color w:val="000000"/>
              </w:rPr>
            </w:pPr>
            <w:r>
              <w:rPr>
                <w:rFonts w:ascii="Calibri" w:eastAsia="Times New Roman" w:hAnsi="Calibri" w:cs="Calibri"/>
                <w:color w:val="000000"/>
              </w:rPr>
              <w:t>ΑΤΤΙΚΗ</w:t>
            </w:r>
          </w:p>
        </w:tc>
        <w:tc>
          <w:tcPr>
            <w:tcW w:w="2038" w:type="pct"/>
            <w:noWrap/>
          </w:tcPr>
          <w:p w14:paraId="290334AB"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42.638.887,09 €</w:t>
            </w:r>
          </w:p>
        </w:tc>
      </w:tr>
      <w:tr w:rsidR="002A2422" w14:paraId="1A5EE732"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09998899" w14:textId="77777777" w:rsidR="002A2422" w:rsidRDefault="003B3AD7">
            <w:pPr>
              <w:rPr>
                <w:rFonts w:ascii="Calibri" w:eastAsia="Times New Roman" w:hAnsi="Calibri" w:cs="Calibri"/>
                <w:color w:val="000000"/>
              </w:rPr>
            </w:pPr>
            <w:r>
              <w:rPr>
                <w:rFonts w:ascii="Calibri" w:eastAsia="Times New Roman" w:hAnsi="Calibri" w:cs="Calibri"/>
                <w:color w:val="000000"/>
              </w:rPr>
              <w:t>ΒΟΡΕΙΟ ΑΙΓΑΙΟ</w:t>
            </w:r>
          </w:p>
        </w:tc>
        <w:tc>
          <w:tcPr>
            <w:tcW w:w="2038" w:type="pct"/>
            <w:shd w:val="clear" w:color="auto" w:fill="DBDBDB" w:themeFill="accent3" w:themeFillTint="66"/>
            <w:noWrap/>
          </w:tcPr>
          <w:p w14:paraId="6219FF2A"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20.611.367,50 €</w:t>
            </w:r>
          </w:p>
        </w:tc>
      </w:tr>
      <w:tr w:rsidR="002A2422" w14:paraId="57ABB03C"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45D82315" w14:textId="77777777" w:rsidR="002A2422" w:rsidRDefault="003B3AD7">
            <w:pPr>
              <w:rPr>
                <w:rFonts w:ascii="Calibri" w:eastAsia="Times New Roman" w:hAnsi="Calibri" w:cs="Calibri"/>
                <w:color w:val="000000"/>
              </w:rPr>
            </w:pPr>
            <w:r>
              <w:rPr>
                <w:rFonts w:ascii="Calibri" w:eastAsia="Times New Roman" w:hAnsi="Calibri" w:cs="Calibri"/>
                <w:color w:val="000000"/>
              </w:rPr>
              <w:t>ΔΥΤΙΚΗ ΕΛΛΑΔΑ</w:t>
            </w:r>
          </w:p>
        </w:tc>
        <w:tc>
          <w:tcPr>
            <w:tcW w:w="2038" w:type="pct"/>
            <w:noWrap/>
          </w:tcPr>
          <w:p w14:paraId="0FC6C622"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6.491.524,08 €</w:t>
            </w:r>
          </w:p>
        </w:tc>
      </w:tr>
      <w:tr w:rsidR="002A2422" w14:paraId="294962DD"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7094DC3D" w14:textId="77777777" w:rsidR="002A2422" w:rsidRDefault="003B3AD7">
            <w:pPr>
              <w:rPr>
                <w:rFonts w:ascii="Calibri" w:eastAsia="Times New Roman" w:hAnsi="Calibri" w:cs="Calibri"/>
                <w:color w:val="000000"/>
              </w:rPr>
            </w:pPr>
            <w:r>
              <w:rPr>
                <w:rFonts w:ascii="Calibri" w:eastAsia="Times New Roman" w:hAnsi="Calibri" w:cs="Calibri"/>
                <w:color w:val="000000"/>
              </w:rPr>
              <w:t>ΔΥΤΙΚΗ ΜΑΚΕΔΟΝΙΑ</w:t>
            </w:r>
          </w:p>
        </w:tc>
        <w:tc>
          <w:tcPr>
            <w:tcW w:w="2038" w:type="pct"/>
            <w:shd w:val="clear" w:color="auto" w:fill="DBDBDB" w:themeFill="accent3" w:themeFillTint="66"/>
            <w:noWrap/>
          </w:tcPr>
          <w:p w14:paraId="19D20653"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10.172.145,25 €</w:t>
            </w:r>
          </w:p>
        </w:tc>
      </w:tr>
      <w:tr w:rsidR="002A2422" w14:paraId="36A4AA75"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7F628169" w14:textId="77777777" w:rsidR="002A2422" w:rsidRDefault="003B3AD7">
            <w:pPr>
              <w:rPr>
                <w:rFonts w:ascii="Calibri" w:eastAsia="Times New Roman" w:hAnsi="Calibri" w:cs="Calibri"/>
                <w:color w:val="000000"/>
              </w:rPr>
            </w:pPr>
            <w:r>
              <w:rPr>
                <w:rFonts w:ascii="Calibri" w:eastAsia="Times New Roman" w:hAnsi="Calibri" w:cs="Calibri"/>
                <w:color w:val="000000"/>
              </w:rPr>
              <w:t>ΗΠΕΙΡΟΣ</w:t>
            </w:r>
          </w:p>
        </w:tc>
        <w:tc>
          <w:tcPr>
            <w:tcW w:w="2038" w:type="pct"/>
            <w:noWrap/>
          </w:tcPr>
          <w:p w14:paraId="010BA424"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13.239.261,33 €</w:t>
            </w:r>
          </w:p>
        </w:tc>
      </w:tr>
      <w:tr w:rsidR="002A2422" w14:paraId="149C90EA"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662C18E1" w14:textId="77777777" w:rsidR="002A2422" w:rsidRDefault="003B3AD7">
            <w:pPr>
              <w:rPr>
                <w:rFonts w:ascii="Calibri" w:eastAsia="Times New Roman" w:hAnsi="Calibri" w:cs="Calibri"/>
                <w:color w:val="000000"/>
              </w:rPr>
            </w:pPr>
            <w:r>
              <w:rPr>
                <w:rFonts w:ascii="Calibri" w:eastAsia="Times New Roman" w:hAnsi="Calibri" w:cs="Calibri"/>
                <w:color w:val="000000"/>
              </w:rPr>
              <w:lastRenderedPageBreak/>
              <w:t>ΘΕΣΣΑΛΙΑ</w:t>
            </w:r>
          </w:p>
        </w:tc>
        <w:tc>
          <w:tcPr>
            <w:tcW w:w="2038" w:type="pct"/>
            <w:shd w:val="clear" w:color="auto" w:fill="DBDBDB" w:themeFill="accent3" w:themeFillTint="66"/>
            <w:noWrap/>
          </w:tcPr>
          <w:p w14:paraId="44C354E4"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15.195.050,00 €</w:t>
            </w:r>
          </w:p>
        </w:tc>
      </w:tr>
      <w:tr w:rsidR="002A2422" w14:paraId="1BBCF53F"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55700B91" w14:textId="77777777" w:rsidR="002A2422" w:rsidRDefault="003B3AD7">
            <w:pPr>
              <w:rPr>
                <w:rFonts w:ascii="Calibri" w:eastAsia="Times New Roman" w:hAnsi="Calibri" w:cs="Calibri"/>
                <w:color w:val="000000"/>
              </w:rPr>
            </w:pPr>
            <w:r>
              <w:rPr>
                <w:rFonts w:ascii="Calibri" w:eastAsia="Times New Roman" w:hAnsi="Calibri" w:cs="Calibri"/>
                <w:color w:val="000000"/>
              </w:rPr>
              <w:t>ΙΟΝΙΑ ΝΗΣΙΑ</w:t>
            </w:r>
          </w:p>
        </w:tc>
        <w:tc>
          <w:tcPr>
            <w:tcW w:w="2038" w:type="pct"/>
            <w:noWrap/>
          </w:tcPr>
          <w:p w14:paraId="46789A1C"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24.144.035,46 €</w:t>
            </w:r>
          </w:p>
        </w:tc>
      </w:tr>
      <w:tr w:rsidR="002A2422" w14:paraId="05E8E1F0"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3B1939E5" w14:textId="77777777" w:rsidR="002A2422" w:rsidRDefault="003B3AD7">
            <w:pPr>
              <w:rPr>
                <w:rFonts w:ascii="Calibri" w:eastAsia="Times New Roman" w:hAnsi="Calibri" w:cs="Calibri"/>
                <w:color w:val="000000"/>
              </w:rPr>
            </w:pPr>
            <w:r>
              <w:rPr>
                <w:rFonts w:ascii="Calibri" w:eastAsia="Times New Roman" w:hAnsi="Calibri" w:cs="Calibri"/>
                <w:color w:val="000000"/>
              </w:rPr>
              <w:t>ΚΕΝΤΡΙΚΗ ΜΑΚΕΔΟΝΙΑ</w:t>
            </w:r>
          </w:p>
        </w:tc>
        <w:tc>
          <w:tcPr>
            <w:tcW w:w="2038" w:type="pct"/>
            <w:shd w:val="clear" w:color="auto" w:fill="DBDBDB" w:themeFill="accent3" w:themeFillTint="66"/>
            <w:noWrap/>
          </w:tcPr>
          <w:p w14:paraId="51CECF05"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34.665.151,44 €</w:t>
            </w:r>
          </w:p>
        </w:tc>
      </w:tr>
      <w:tr w:rsidR="002A2422" w14:paraId="0ABD7478"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523075F9" w14:textId="77777777" w:rsidR="002A2422" w:rsidRDefault="003B3AD7">
            <w:pPr>
              <w:rPr>
                <w:rFonts w:ascii="Calibri" w:eastAsia="Times New Roman" w:hAnsi="Calibri" w:cs="Calibri"/>
                <w:color w:val="000000"/>
              </w:rPr>
            </w:pPr>
            <w:r>
              <w:rPr>
                <w:rFonts w:ascii="Calibri" w:eastAsia="Times New Roman" w:hAnsi="Calibri" w:cs="Calibri"/>
                <w:color w:val="000000"/>
              </w:rPr>
              <w:t>ΚΡΗΤΗ</w:t>
            </w:r>
          </w:p>
        </w:tc>
        <w:tc>
          <w:tcPr>
            <w:tcW w:w="2038" w:type="pct"/>
            <w:noWrap/>
          </w:tcPr>
          <w:p w14:paraId="282ABDBB"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24.597.046,25 €</w:t>
            </w:r>
          </w:p>
        </w:tc>
      </w:tr>
      <w:tr w:rsidR="002A2422" w14:paraId="2424B085"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2129E8A7" w14:textId="77777777" w:rsidR="002A2422" w:rsidRDefault="003B3AD7">
            <w:pPr>
              <w:rPr>
                <w:rFonts w:ascii="Calibri" w:eastAsia="Times New Roman" w:hAnsi="Calibri" w:cs="Calibri"/>
                <w:color w:val="000000"/>
              </w:rPr>
            </w:pPr>
            <w:r>
              <w:rPr>
                <w:rFonts w:ascii="Calibri" w:eastAsia="Times New Roman" w:hAnsi="Calibri" w:cs="Calibri"/>
                <w:color w:val="000000"/>
              </w:rPr>
              <w:t>ΜΕΤΑΡΡΥΘΜΙΣΗ ΔΗΜΟΣΙΟΥ ΤΟΜΕΑ</w:t>
            </w:r>
          </w:p>
        </w:tc>
        <w:tc>
          <w:tcPr>
            <w:tcW w:w="2038" w:type="pct"/>
            <w:shd w:val="clear" w:color="auto" w:fill="DBDBDB" w:themeFill="accent3" w:themeFillTint="66"/>
            <w:noWrap/>
          </w:tcPr>
          <w:p w14:paraId="5FCF05F7"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1.396.690,80 €</w:t>
            </w:r>
          </w:p>
        </w:tc>
      </w:tr>
      <w:tr w:rsidR="002A2422" w14:paraId="435CD9B9"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2E94A55A" w14:textId="77777777" w:rsidR="002A2422" w:rsidRDefault="003B3AD7">
            <w:pPr>
              <w:rPr>
                <w:rFonts w:ascii="Calibri" w:eastAsia="Times New Roman" w:hAnsi="Calibri" w:cs="Calibri"/>
                <w:color w:val="000000"/>
              </w:rPr>
            </w:pPr>
            <w:r>
              <w:rPr>
                <w:rFonts w:ascii="Calibri" w:eastAsia="Times New Roman" w:hAnsi="Calibri" w:cs="Calibri"/>
                <w:color w:val="000000"/>
              </w:rPr>
              <w:t>ΝΟΤΙΟ ΑΙΓΑΙΟ</w:t>
            </w:r>
          </w:p>
        </w:tc>
        <w:tc>
          <w:tcPr>
            <w:tcW w:w="2038" w:type="pct"/>
            <w:noWrap/>
          </w:tcPr>
          <w:p w14:paraId="179828AB"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10.028.231,83 €</w:t>
            </w:r>
          </w:p>
        </w:tc>
      </w:tr>
      <w:tr w:rsidR="002A2422" w14:paraId="0B343886"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5C19717C" w14:textId="77777777" w:rsidR="002A2422" w:rsidRDefault="003B3AD7">
            <w:pPr>
              <w:rPr>
                <w:rFonts w:ascii="Calibri" w:eastAsia="Times New Roman" w:hAnsi="Calibri" w:cs="Calibri"/>
                <w:color w:val="000000"/>
              </w:rPr>
            </w:pPr>
            <w:r>
              <w:rPr>
                <w:rFonts w:ascii="Calibri" w:eastAsia="Times New Roman" w:hAnsi="Calibri" w:cs="Calibri"/>
                <w:color w:val="000000"/>
              </w:rPr>
              <w:t>ΠΕΛΟΠΟΝΝΗΣΟΣ</w:t>
            </w:r>
          </w:p>
        </w:tc>
        <w:tc>
          <w:tcPr>
            <w:tcW w:w="2038" w:type="pct"/>
            <w:shd w:val="clear" w:color="auto" w:fill="DBDBDB" w:themeFill="accent3" w:themeFillTint="66"/>
            <w:noWrap/>
          </w:tcPr>
          <w:p w14:paraId="572395BC"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24.290.554,37 €</w:t>
            </w:r>
          </w:p>
        </w:tc>
      </w:tr>
      <w:tr w:rsidR="002A2422" w14:paraId="2FC70667"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6D691D61" w14:textId="77777777" w:rsidR="002A2422" w:rsidRDefault="003B3AD7">
            <w:pPr>
              <w:rPr>
                <w:rFonts w:ascii="Calibri" w:eastAsia="Times New Roman" w:hAnsi="Calibri" w:cs="Calibri"/>
                <w:color w:val="000000"/>
              </w:rPr>
            </w:pPr>
            <w:r>
              <w:rPr>
                <w:rFonts w:ascii="Calibri" w:eastAsia="Times New Roman" w:hAnsi="Calibri" w:cs="Calibri"/>
                <w:color w:val="000000"/>
              </w:rPr>
              <w:t>ΣΤΕΡΕΑ ΕΛΛΑΔΑ</w:t>
            </w:r>
          </w:p>
        </w:tc>
        <w:tc>
          <w:tcPr>
            <w:tcW w:w="2038" w:type="pct"/>
            <w:noWrap/>
          </w:tcPr>
          <w:p w14:paraId="749914FC"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5.216.945,02 €</w:t>
            </w:r>
          </w:p>
        </w:tc>
      </w:tr>
      <w:tr w:rsidR="002A2422" w14:paraId="59472897"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014D64D4" w14:textId="77777777" w:rsidR="002A2422" w:rsidRDefault="003B3AD7">
            <w:pPr>
              <w:rPr>
                <w:rFonts w:ascii="Calibri" w:eastAsia="Times New Roman" w:hAnsi="Calibri" w:cs="Calibri"/>
                <w:color w:val="000000"/>
              </w:rPr>
            </w:pPr>
            <w:r>
              <w:rPr>
                <w:rFonts w:ascii="Calibri" w:eastAsia="Times New Roman" w:hAnsi="Calibri" w:cs="Calibri"/>
                <w:color w:val="000000"/>
              </w:rPr>
              <w:t>ΥΠΟΔΟΜΕΣ ΜΕΤΑΦΟΡΩΝ, ΠΕΡΙΒΑΛΛΟΝ &amp; ΑΕΙΦΟΡΟΣ ΑΝΑΠΤΥΞΗ 2014-2020</w:t>
            </w:r>
          </w:p>
        </w:tc>
        <w:tc>
          <w:tcPr>
            <w:tcW w:w="2038" w:type="pct"/>
            <w:shd w:val="clear" w:color="auto" w:fill="DBDBDB" w:themeFill="accent3" w:themeFillTint="66"/>
            <w:noWrap/>
          </w:tcPr>
          <w:p w14:paraId="1121D077"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5.279.940,57 €</w:t>
            </w:r>
          </w:p>
        </w:tc>
      </w:tr>
      <w:tr w:rsidR="002A2422" w14:paraId="53769867"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962" w:type="pct"/>
            <w:noWrap/>
          </w:tcPr>
          <w:p w14:paraId="19ED1983" w14:textId="77777777" w:rsidR="002A2422" w:rsidRDefault="003B3AD7">
            <w:pPr>
              <w:rPr>
                <w:rFonts w:ascii="Calibri" w:eastAsia="Times New Roman" w:hAnsi="Calibri" w:cs="Calibri"/>
                <w:color w:val="000000"/>
              </w:rPr>
            </w:pPr>
            <w:r>
              <w:rPr>
                <w:rFonts w:ascii="Calibri" w:eastAsia="Times New Roman" w:hAnsi="Calibri" w:cs="Calibri"/>
                <w:color w:val="000000"/>
              </w:rPr>
              <w:t>Γενικό Άθροισμα</w:t>
            </w:r>
          </w:p>
        </w:tc>
        <w:tc>
          <w:tcPr>
            <w:tcW w:w="2038" w:type="pct"/>
            <w:noWrap/>
          </w:tcPr>
          <w:p w14:paraId="37F880EB"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bookmarkStart w:id="39" w:name="_Hlk71536811"/>
            <w:r>
              <w:rPr>
                <w:rFonts w:ascii="Calibri" w:eastAsia="Times New Roman" w:hAnsi="Calibri" w:cs="Calibri"/>
                <w:b/>
                <w:bCs/>
                <w:color w:val="000000"/>
              </w:rPr>
              <w:t>340.858.433,31 €</w:t>
            </w:r>
            <w:bookmarkEnd w:id="39"/>
          </w:p>
        </w:tc>
      </w:tr>
    </w:tbl>
    <w:p w14:paraId="07C189E1" w14:textId="77777777" w:rsidR="002A2422" w:rsidRDefault="003B3AD7">
      <w:pPr>
        <w:rPr>
          <w:rFonts w:ascii="Times New Roman" w:eastAsia="Times New Roman" w:hAnsi="Times New Roman" w:cs="Times New Roman"/>
          <w:sz w:val="20"/>
          <w:szCs w:val="20"/>
        </w:rPr>
      </w:pPr>
      <w:r>
        <w:rPr>
          <w:rFonts w:asciiTheme="minorHAnsi" w:hAnsiTheme="minorHAnsi" w:cstheme="minorHAnsi"/>
        </w:rPr>
        <w:t xml:space="preserve">Πίνακας 5: Ενταγμένα έργα τομέα Πολιτισμού ανά ΕΠ   </w:t>
      </w:r>
      <w:r>
        <w:rPr>
          <w:rFonts w:ascii="Times New Roman" w:eastAsia="Times New Roman" w:hAnsi="Times New Roman" w:cs="Times New Roman"/>
          <w:b/>
          <w:bCs/>
          <w:sz w:val="20"/>
          <w:szCs w:val="20"/>
        </w:rPr>
        <w:t>(στοιχεία 04.2021)</w:t>
      </w:r>
    </w:p>
    <w:p w14:paraId="26D323C7" w14:textId="77777777" w:rsidR="002A2422" w:rsidRDefault="002A2422">
      <w:pPr>
        <w:tabs>
          <w:tab w:val="left" w:pos="1216"/>
        </w:tabs>
        <w:rPr>
          <w:rFonts w:asciiTheme="minorHAnsi" w:hAnsiTheme="minorHAnsi" w:cstheme="minorHAnsi"/>
        </w:rPr>
      </w:pPr>
    </w:p>
    <w:p w14:paraId="0D105520" w14:textId="77777777" w:rsidR="002A2422" w:rsidRDefault="002A2422"/>
    <w:p w14:paraId="469E5935" w14:textId="77777777" w:rsidR="002A2422" w:rsidRDefault="002A2422"/>
    <w:p w14:paraId="43D12304" w14:textId="77777777" w:rsidR="002A2422" w:rsidRDefault="003B3AD7">
      <w:r>
        <w:rPr>
          <w:noProof/>
        </w:rPr>
        <w:lastRenderedPageBreak/>
        <w:drawing>
          <wp:inline distT="0" distB="0" distL="0" distR="0" wp14:anchorId="6A853DD7" wp14:editId="14A24510">
            <wp:extent cx="5274310" cy="5302885"/>
            <wp:effectExtent l="0" t="0" r="2540" b="12065"/>
            <wp:docPr id="24" name="Γράφημα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392559" w14:textId="77777777" w:rsidR="002A2422" w:rsidRDefault="003B3AD7">
      <w:pPr>
        <w:rPr>
          <w:rFonts w:ascii="Times New Roman" w:eastAsia="Times New Roman" w:hAnsi="Times New Roman" w:cs="Times New Roman"/>
          <w:sz w:val="20"/>
          <w:szCs w:val="20"/>
        </w:rPr>
      </w:pPr>
      <w:r>
        <w:rPr>
          <w:rFonts w:asciiTheme="minorHAnsi" w:hAnsiTheme="minorHAnsi" w:cstheme="minorHAnsi"/>
        </w:rPr>
        <w:t xml:space="preserve">Διάγραμμα 4: Ενταγμένα έργα τομέα Πολιτισμού ανά ΕΠ  </w:t>
      </w:r>
      <w:r>
        <w:rPr>
          <w:rFonts w:ascii="Times New Roman" w:eastAsia="Times New Roman" w:hAnsi="Times New Roman" w:cs="Times New Roman"/>
          <w:b/>
          <w:bCs/>
          <w:sz w:val="20"/>
          <w:szCs w:val="20"/>
        </w:rPr>
        <w:t>(στοιχεία 04.2021)</w:t>
      </w:r>
    </w:p>
    <w:p w14:paraId="305A9974" w14:textId="77777777" w:rsidR="002A2422" w:rsidRDefault="002A2422"/>
    <w:p w14:paraId="1EBDD3FB" w14:textId="77777777" w:rsidR="002A2422" w:rsidRDefault="002A2422"/>
    <w:tbl>
      <w:tblPr>
        <w:tblStyle w:val="5-31"/>
        <w:tblW w:w="5000" w:type="pct"/>
        <w:tblLook w:val="04A0" w:firstRow="1" w:lastRow="0" w:firstColumn="1" w:lastColumn="0" w:noHBand="0" w:noVBand="1"/>
      </w:tblPr>
      <w:tblGrid>
        <w:gridCol w:w="7293"/>
        <w:gridCol w:w="2350"/>
      </w:tblGrid>
      <w:tr w:rsidR="002A2422" w14:paraId="41F3F0B0" w14:textId="77777777" w:rsidTr="002A24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7379F9AE" w14:textId="77777777" w:rsidR="002A2422" w:rsidRDefault="003B3AD7">
            <w:pPr>
              <w:rPr>
                <w:rFonts w:ascii="Calibri" w:eastAsia="Times New Roman" w:hAnsi="Calibri" w:cs="Calibri"/>
                <w:color w:val="000000"/>
              </w:rPr>
            </w:pPr>
            <w:r>
              <w:rPr>
                <w:rFonts w:ascii="Calibri" w:eastAsia="Times New Roman" w:hAnsi="Calibri" w:cs="Calibri"/>
                <w:color w:val="000000"/>
              </w:rPr>
              <w:t>ΕΠΙΧΕΙΡΗΣΙΑΚΟ ΠΡΟΓΡΑΜΜΑ</w:t>
            </w:r>
          </w:p>
        </w:tc>
        <w:tc>
          <w:tcPr>
            <w:tcW w:w="1219" w:type="pct"/>
            <w:noWrap/>
          </w:tcPr>
          <w:p w14:paraId="296C7C94" w14:textId="77777777" w:rsidR="002A2422" w:rsidRDefault="003B3AD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Αριθμός Έργων ανά ΕΠ</w:t>
            </w:r>
          </w:p>
        </w:tc>
      </w:tr>
      <w:tr w:rsidR="002A2422" w14:paraId="3B19B724"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46656F3F" w14:textId="77777777" w:rsidR="002A2422" w:rsidRDefault="003B3AD7">
            <w:pPr>
              <w:rPr>
                <w:rFonts w:ascii="Calibri" w:eastAsia="Times New Roman" w:hAnsi="Calibri" w:cs="Calibri"/>
                <w:color w:val="000000"/>
              </w:rPr>
            </w:pPr>
            <w:r>
              <w:rPr>
                <w:rFonts w:ascii="Calibri" w:eastAsia="Times New Roman" w:hAnsi="Calibri" w:cs="Calibri"/>
                <w:color w:val="000000"/>
              </w:rPr>
              <w:t>INTERREG- MED</w:t>
            </w:r>
          </w:p>
        </w:tc>
        <w:tc>
          <w:tcPr>
            <w:tcW w:w="1219" w:type="pct"/>
            <w:shd w:val="clear" w:color="auto" w:fill="DBDBDB" w:themeFill="accent3" w:themeFillTint="66"/>
            <w:noWrap/>
          </w:tcPr>
          <w:p w14:paraId="3C699F86"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2A2422" w14:paraId="14581A69"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6493A349" w14:textId="77777777" w:rsidR="002A2422" w:rsidRDefault="003B3AD7">
            <w:pPr>
              <w:rPr>
                <w:rFonts w:ascii="Calibri" w:eastAsia="Times New Roman" w:hAnsi="Calibri" w:cs="Calibri"/>
                <w:color w:val="000000"/>
                <w:lang w:val="en-US"/>
              </w:rPr>
            </w:pPr>
            <w:r>
              <w:rPr>
                <w:rFonts w:ascii="Calibri" w:eastAsia="Times New Roman" w:hAnsi="Calibri" w:cs="Calibri"/>
                <w:color w:val="000000"/>
                <w:lang w:val="en-US"/>
              </w:rPr>
              <w:t xml:space="preserve">INTERREG V-A </w:t>
            </w:r>
            <w:r>
              <w:rPr>
                <w:rFonts w:ascii="Calibri" w:eastAsia="Times New Roman" w:hAnsi="Calibri" w:cs="Calibri"/>
                <w:color w:val="000000"/>
              </w:rPr>
              <w:t>ΕΛΛΑΔΑ</w:t>
            </w:r>
            <w:r>
              <w:rPr>
                <w:rFonts w:ascii="Calibri" w:eastAsia="Times New Roman" w:hAnsi="Calibri" w:cs="Calibri"/>
                <w:color w:val="000000"/>
                <w:lang w:val="en-US"/>
              </w:rPr>
              <w:t>-</w:t>
            </w:r>
            <w:r>
              <w:rPr>
                <w:rFonts w:ascii="Calibri" w:eastAsia="Times New Roman" w:hAnsi="Calibri" w:cs="Calibri"/>
                <w:color w:val="000000"/>
              </w:rPr>
              <w:t>ΚΥΠΡΟΣ</w:t>
            </w:r>
          </w:p>
        </w:tc>
        <w:tc>
          <w:tcPr>
            <w:tcW w:w="1219" w:type="pct"/>
            <w:noWrap/>
          </w:tcPr>
          <w:p w14:paraId="0EEC251A"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w:t>
            </w:r>
          </w:p>
        </w:tc>
      </w:tr>
      <w:tr w:rsidR="002A2422" w14:paraId="16BEB9D2"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12F9D7F5" w14:textId="77777777" w:rsidR="002A2422" w:rsidRDefault="003B3AD7">
            <w:pPr>
              <w:rPr>
                <w:rFonts w:ascii="Calibri" w:eastAsia="Times New Roman" w:hAnsi="Calibri" w:cs="Calibri"/>
                <w:color w:val="000000"/>
                <w:lang w:val="en-US"/>
              </w:rPr>
            </w:pPr>
            <w:r>
              <w:rPr>
                <w:rFonts w:ascii="Calibri" w:eastAsia="Times New Roman" w:hAnsi="Calibri" w:cs="Calibri"/>
                <w:color w:val="000000"/>
                <w:lang w:val="en-US"/>
              </w:rPr>
              <w:t xml:space="preserve">INTERREG V-B  BALKAN MEDITERRANEAN </w:t>
            </w:r>
          </w:p>
        </w:tc>
        <w:tc>
          <w:tcPr>
            <w:tcW w:w="1219" w:type="pct"/>
            <w:shd w:val="clear" w:color="auto" w:fill="DBDBDB" w:themeFill="accent3" w:themeFillTint="66"/>
            <w:noWrap/>
          </w:tcPr>
          <w:p w14:paraId="15DE931F"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2A2422" w14:paraId="2DECE246"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2DEB718D" w14:textId="77777777" w:rsidR="002A2422" w:rsidRDefault="003B3AD7">
            <w:pPr>
              <w:rPr>
                <w:rFonts w:ascii="Calibri" w:eastAsia="Times New Roman" w:hAnsi="Calibri" w:cs="Calibri"/>
                <w:color w:val="000000"/>
                <w:lang w:val="en-US"/>
              </w:rPr>
            </w:pPr>
            <w:r>
              <w:rPr>
                <w:rFonts w:ascii="Calibri" w:eastAsia="Times New Roman" w:hAnsi="Calibri" w:cs="Calibri"/>
                <w:color w:val="000000"/>
                <w:lang w:val="en-US"/>
              </w:rPr>
              <w:t>INTERREG V-B Adriatic-Ionian ADRION</w:t>
            </w:r>
          </w:p>
        </w:tc>
        <w:tc>
          <w:tcPr>
            <w:tcW w:w="1219" w:type="pct"/>
            <w:noWrap/>
          </w:tcPr>
          <w:p w14:paraId="3C6FF3E8"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2A2422" w14:paraId="1E070594"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73B16CD8" w14:textId="77777777" w:rsidR="002A2422" w:rsidRDefault="003B3AD7">
            <w:pPr>
              <w:rPr>
                <w:rFonts w:ascii="Calibri" w:eastAsia="Times New Roman" w:hAnsi="Calibri" w:cs="Calibri"/>
                <w:color w:val="000000"/>
              </w:rPr>
            </w:pPr>
            <w:r>
              <w:rPr>
                <w:rFonts w:ascii="Calibri" w:eastAsia="Times New Roman" w:hAnsi="Calibri" w:cs="Calibri"/>
                <w:color w:val="000000"/>
              </w:rPr>
              <w:t>INTERREG ΕΛΛΑΔΑ - ΒΟΥΛΓΑΡΙΑ 2014 -2020</w:t>
            </w:r>
          </w:p>
        </w:tc>
        <w:tc>
          <w:tcPr>
            <w:tcW w:w="1219" w:type="pct"/>
            <w:shd w:val="clear" w:color="auto" w:fill="DBDBDB" w:themeFill="accent3" w:themeFillTint="66"/>
            <w:noWrap/>
          </w:tcPr>
          <w:p w14:paraId="78A99D5E"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w:t>
            </w:r>
          </w:p>
        </w:tc>
      </w:tr>
      <w:tr w:rsidR="002A2422" w14:paraId="0BB7CC80"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0E6DBDEF" w14:textId="77777777" w:rsidR="002A2422" w:rsidRDefault="003B3AD7">
            <w:pPr>
              <w:rPr>
                <w:rFonts w:ascii="Calibri" w:eastAsia="Times New Roman" w:hAnsi="Calibri" w:cs="Calibri"/>
                <w:color w:val="000000"/>
              </w:rPr>
            </w:pPr>
            <w:r>
              <w:rPr>
                <w:rFonts w:ascii="Calibri" w:eastAsia="Times New Roman" w:hAnsi="Calibri" w:cs="Calibri"/>
                <w:color w:val="000000"/>
              </w:rPr>
              <w:t>INTERREG ΕΛΛΑΔΑ – ΙΤΑΛΙΑ</w:t>
            </w:r>
          </w:p>
        </w:tc>
        <w:tc>
          <w:tcPr>
            <w:tcW w:w="1219" w:type="pct"/>
            <w:noWrap/>
          </w:tcPr>
          <w:p w14:paraId="231C3206"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w:t>
            </w:r>
          </w:p>
        </w:tc>
      </w:tr>
      <w:tr w:rsidR="002A2422" w14:paraId="4A4445CF"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252D0672" w14:textId="77777777" w:rsidR="002A2422" w:rsidRDefault="003B3AD7">
            <w:pPr>
              <w:rPr>
                <w:rFonts w:ascii="Calibri" w:eastAsia="Times New Roman" w:hAnsi="Calibri" w:cs="Calibri"/>
                <w:color w:val="000000"/>
              </w:rPr>
            </w:pPr>
            <w:r>
              <w:rPr>
                <w:rFonts w:ascii="Calibri" w:eastAsia="Times New Roman" w:hAnsi="Calibri" w:cs="Calibri"/>
                <w:color w:val="000000"/>
              </w:rPr>
              <w:t xml:space="preserve">INTERREG ΕΛΛΑΔΑ-FYROM </w:t>
            </w:r>
          </w:p>
        </w:tc>
        <w:tc>
          <w:tcPr>
            <w:tcW w:w="1219" w:type="pct"/>
            <w:shd w:val="clear" w:color="auto" w:fill="DBDBDB" w:themeFill="accent3" w:themeFillTint="66"/>
            <w:noWrap/>
          </w:tcPr>
          <w:p w14:paraId="4B5D02E1"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2A2422" w14:paraId="619635E0"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3836E865" w14:textId="77777777" w:rsidR="002A2422" w:rsidRDefault="003B3AD7">
            <w:pPr>
              <w:rPr>
                <w:rFonts w:ascii="Calibri" w:eastAsia="Times New Roman" w:hAnsi="Calibri" w:cs="Calibri"/>
                <w:color w:val="000000"/>
              </w:rPr>
            </w:pPr>
            <w:r>
              <w:rPr>
                <w:rFonts w:ascii="Calibri" w:eastAsia="Times New Roman" w:hAnsi="Calibri" w:cs="Calibri"/>
                <w:color w:val="000000"/>
              </w:rPr>
              <w:t>INTERREG ΕΛΛΑΔΑ-ΑΛΒΑΝΙΑ</w:t>
            </w:r>
          </w:p>
        </w:tc>
        <w:tc>
          <w:tcPr>
            <w:tcW w:w="1219" w:type="pct"/>
            <w:noWrap/>
          </w:tcPr>
          <w:p w14:paraId="2D7E4E7F"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w:t>
            </w:r>
          </w:p>
        </w:tc>
      </w:tr>
      <w:tr w:rsidR="002A2422" w14:paraId="188CDDCF"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5A9DC71D" w14:textId="77777777" w:rsidR="002A2422" w:rsidRDefault="003B3AD7">
            <w:pPr>
              <w:rPr>
                <w:rFonts w:ascii="Calibri" w:eastAsia="Times New Roman" w:hAnsi="Calibri" w:cs="Calibri"/>
                <w:color w:val="000000"/>
              </w:rPr>
            </w:pPr>
            <w:r>
              <w:rPr>
                <w:rFonts w:ascii="Calibri" w:eastAsia="Times New Roman" w:hAnsi="Calibri" w:cs="Calibri"/>
                <w:color w:val="000000"/>
              </w:rPr>
              <w:t>ΑΝΑΠΤΥΞΗ ΑΝΘΡΩΠΙΝΟΥ ΔΥΝΑΜΙΚΟΥ ΕΚΠΑΙΔΕΥΣΗ ΚΑΙ ΔΙΑ ΒΙΟΥ ΜΑΘΗΣΗ</w:t>
            </w:r>
          </w:p>
        </w:tc>
        <w:tc>
          <w:tcPr>
            <w:tcW w:w="1219" w:type="pct"/>
            <w:shd w:val="clear" w:color="auto" w:fill="DBDBDB" w:themeFill="accent3" w:themeFillTint="66"/>
            <w:noWrap/>
          </w:tcPr>
          <w:p w14:paraId="71EC7D39"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w:t>
            </w:r>
          </w:p>
        </w:tc>
      </w:tr>
      <w:tr w:rsidR="002A2422" w14:paraId="17969B7D"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6F260977" w14:textId="77777777" w:rsidR="002A2422" w:rsidRDefault="003B3AD7">
            <w:pPr>
              <w:rPr>
                <w:rFonts w:ascii="Calibri" w:eastAsia="Times New Roman" w:hAnsi="Calibri" w:cs="Calibri"/>
                <w:color w:val="000000"/>
              </w:rPr>
            </w:pPr>
            <w:r>
              <w:rPr>
                <w:rFonts w:ascii="Calibri" w:eastAsia="Times New Roman" w:hAnsi="Calibri" w:cs="Calibri"/>
                <w:color w:val="000000"/>
              </w:rPr>
              <w:lastRenderedPageBreak/>
              <w:t>ΑΝΑΤΟΛΙΚΗ ΜΑΚΕΔΟΝΙΑ ΘΡΑΚΗ</w:t>
            </w:r>
          </w:p>
        </w:tc>
        <w:tc>
          <w:tcPr>
            <w:tcW w:w="1219" w:type="pct"/>
            <w:noWrap/>
          </w:tcPr>
          <w:p w14:paraId="21460E12"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w:t>
            </w:r>
          </w:p>
        </w:tc>
      </w:tr>
      <w:tr w:rsidR="002A2422" w14:paraId="2D805CD7"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07D7C0D0" w14:textId="77777777" w:rsidR="002A2422" w:rsidRDefault="003B3AD7">
            <w:pPr>
              <w:rPr>
                <w:rFonts w:ascii="Calibri" w:eastAsia="Times New Roman" w:hAnsi="Calibri" w:cs="Calibri"/>
                <w:color w:val="000000"/>
              </w:rPr>
            </w:pPr>
            <w:r>
              <w:rPr>
                <w:rFonts w:ascii="Calibri" w:eastAsia="Times New Roman" w:hAnsi="Calibri" w:cs="Calibri"/>
                <w:color w:val="000000"/>
              </w:rPr>
              <w:t>ΑΝΤΑΓΩΝΙΣΤΙΚΟΤΗΤΑ ΕΠΙΧΕΙΡΗΜΑΤΙΚΟΤΗΤΑ ΚΑΙ ΚΑΙΝΟΤΟΜΙΑ</w:t>
            </w:r>
          </w:p>
        </w:tc>
        <w:tc>
          <w:tcPr>
            <w:tcW w:w="1219" w:type="pct"/>
            <w:shd w:val="clear" w:color="auto" w:fill="DBDBDB" w:themeFill="accent3" w:themeFillTint="66"/>
            <w:noWrap/>
          </w:tcPr>
          <w:p w14:paraId="7B0C9A17"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51</w:t>
            </w:r>
          </w:p>
        </w:tc>
      </w:tr>
      <w:tr w:rsidR="002A2422" w14:paraId="4A67A582"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307680F1" w14:textId="77777777" w:rsidR="002A2422" w:rsidRDefault="003B3AD7">
            <w:pPr>
              <w:rPr>
                <w:rFonts w:ascii="Calibri" w:eastAsia="Times New Roman" w:hAnsi="Calibri" w:cs="Calibri"/>
                <w:color w:val="000000"/>
              </w:rPr>
            </w:pPr>
            <w:r>
              <w:rPr>
                <w:rFonts w:ascii="Calibri" w:eastAsia="Times New Roman" w:hAnsi="Calibri" w:cs="Calibri"/>
                <w:color w:val="000000"/>
              </w:rPr>
              <w:t>ΑΤΤΙΚΗ</w:t>
            </w:r>
          </w:p>
        </w:tc>
        <w:tc>
          <w:tcPr>
            <w:tcW w:w="1219" w:type="pct"/>
            <w:noWrap/>
          </w:tcPr>
          <w:p w14:paraId="4D3D796A"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28</w:t>
            </w:r>
          </w:p>
        </w:tc>
      </w:tr>
      <w:tr w:rsidR="002A2422" w14:paraId="1C02BA4E"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05454971" w14:textId="77777777" w:rsidR="002A2422" w:rsidRDefault="003B3AD7">
            <w:pPr>
              <w:rPr>
                <w:rFonts w:ascii="Calibri" w:eastAsia="Times New Roman" w:hAnsi="Calibri" w:cs="Calibri"/>
                <w:color w:val="000000"/>
              </w:rPr>
            </w:pPr>
            <w:r>
              <w:rPr>
                <w:rFonts w:ascii="Calibri" w:eastAsia="Times New Roman" w:hAnsi="Calibri" w:cs="Calibri"/>
                <w:color w:val="000000"/>
              </w:rPr>
              <w:t>ΒΟΡΕΙΟ ΑΙΓΑΙΟ</w:t>
            </w:r>
          </w:p>
        </w:tc>
        <w:tc>
          <w:tcPr>
            <w:tcW w:w="1219" w:type="pct"/>
            <w:shd w:val="clear" w:color="auto" w:fill="DBDBDB" w:themeFill="accent3" w:themeFillTint="66"/>
            <w:noWrap/>
          </w:tcPr>
          <w:p w14:paraId="4E1F2607"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w:t>
            </w:r>
          </w:p>
        </w:tc>
      </w:tr>
      <w:tr w:rsidR="002A2422" w14:paraId="487A1188"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2FB1FB0F" w14:textId="77777777" w:rsidR="002A2422" w:rsidRDefault="003B3AD7">
            <w:pPr>
              <w:rPr>
                <w:rFonts w:ascii="Calibri" w:eastAsia="Times New Roman" w:hAnsi="Calibri" w:cs="Calibri"/>
                <w:color w:val="000000"/>
              </w:rPr>
            </w:pPr>
            <w:r>
              <w:rPr>
                <w:rFonts w:ascii="Calibri" w:eastAsia="Times New Roman" w:hAnsi="Calibri" w:cs="Calibri"/>
                <w:color w:val="000000"/>
              </w:rPr>
              <w:t>ΔΥΤΙΚΗ ΕΛΛΑΔΑ</w:t>
            </w:r>
          </w:p>
        </w:tc>
        <w:tc>
          <w:tcPr>
            <w:tcW w:w="1219" w:type="pct"/>
            <w:noWrap/>
          </w:tcPr>
          <w:p w14:paraId="59F9352E"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w:t>
            </w:r>
          </w:p>
        </w:tc>
      </w:tr>
      <w:tr w:rsidR="002A2422" w14:paraId="64F79204"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0DFF76DC" w14:textId="77777777" w:rsidR="002A2422" w:rsidRDefault="003B3AD7">
            <w:pPr>
              <w:rPr>
                <w:rFonts w:ascii="Calibri" w:eastAsia="Times New Roman" w:hAnsi="Calibri" w:cs="Calibri"/>
                <w:color w:val="000000"/>
              </w:rPr>
            </w:pPr>
            <w:r>
              <w:rPr>
                <w:rFonts w:ascii="Calibri" w:eastAsia="Times New Roman" w:hAnsi="Calibri" w:cs="Calibri"/>
                <w:color w:val="000000"/>
              </w:rPr>
              <w:t>ΔΥΤΙΚΗ ΜΑΚΕΔΟΝΙΑ</w:t>
            </w:r>
          </w:p>
        </w:tc>
        <w:tc>
          <w:tcPr>
            <w:tcW w:w="1219" w:type="pct"/>
            <w:shd w:val="clear" w:color="auto" w:fill="DBDBDB" w:themeFill="accent3" w:themeFillTint="66"/>
            <w:noWrap/>
          </w:tcPr>
          <w:p w14:paraId="1C7F9158"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w:t>
            </w:r>
          </w:p>
        </w:tc>
      </w:tr>
      <w:tr w:rsidR="002A2422" w14:paraId="6314B215"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08A99460" w14:textId="77777777" w:rsidR="002A2422" w:rsidRDefault="003B3AD7">
            <w:pPr>
              <w:rPr>
                <w:rFonts w:ascii="Calibri" w:eastAsia="Times New Roman" w:hAnsi="Calibri" w:cs="Calibri"/>
                <w:color w:val="000000"/>
              </w:rPr>
            </w:pPr>
            <w:r>
              <w:rPr>
                <w:rFonts w:ascii="Calibri" w:eastAsia="Times New Roman" w:hAnsi="Calibri" w:cs="Calibri"/>
                <w:color w:val="000000"/>
              </w:rPr>
              <w:t>ΗΠΕΙΡΟΣ</w:t>
            </w:r>
          </w:p>
        </w:tc>
        <w:tc>
          <w:tcPr>
            <w:tcW w:w="1219" w:type="pct"/>
            <w:noWrap/>
          </w:tcPr>
          <w:p w14:paraId="6CADD015"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w:t>
            </w:r>
          </w:p>
        </w:tc>
      </w:tr>
      <w:tr w:rsidR="002A2422" w14:paraId="1790F084"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2C00C498" w14:textId="77777777" w:rsidR="002A2422" w:rsidRDefault="003B3AD7">
            <w:pPr>
              <w:rPr>
                <w:rFonts w:ascii="Calibri" w:eastAsia="Times New Roman" w:hAnsi="Calibri" w:cs="Calibri"/>
                <w:color w:val="000000"/>
              </w:rPr>
            </w:pPr>
            <w:r>
              <w:rPr>
                <w:rFonts w:ascii="Calibri" w:eastAsia="Times New Roman" w:hAnsi="Calibri" w:cs="Calibri"/>
                <w:color w:val="000000"/>
              </w:rPr>
              <w:t>ΘΕΣΣΑΛΙΑ</w:t>
            </w:r>
          </w:p>
        </w:tc>
        <w:tc>
          <w:tcPr>
            <w:tcW w:w="1219" w:type="pct"/>
            <w:shd w:val="clear" w:color="auto" w:fill="DBDBDB" w:themeFill="accent3" w:themeFillTint="66"/>
            <w:noWrap/>
          </w:tcPr>
          <w:p w14:paraId="3482C373"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w:t>
            </w:r>
          </w:p>
        </w:tc>
      </w:tr>
      <w:tr w:rsidR="002A2422" w14:paraId="1E97953B"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2E67B459" w14:textId="77777777" w:rsidR="002A2422" w:rsidRDefault="003B3AD7">
            <w:pPr>
              <w:rPr>
                <w:rFonts w:ascii="Calibri" w:eastAsia="Times New Roman" w:hAnsi="Calibri" w:cs="Calibri"/>
                <w:color w:val="000000"/>
              </w:rPr>
            </w:pPr>
            <w:r>
              <w:rPr>
                <w:rFonts w:ascii="Calibri" w:eastAsia="Times New Roman" w:hAnsi="Calibri" w:cs="Calibri"/>
                <w:color w:val="000000"/>
              </w:rPr>
              <w:t>ΙΟΝΙΑ ΝΗΣΙΑ</w:t>
            </w:r>
          </w:p>
        </w:tc>
        <w:tc>
          <w:tcPr>
            <w:tcW w:w="1219" w:type="pct"/>
            <w:noWrap/>
          </w:tcPr>
          <w:p w14:paraId="5B7E7D3E"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27</w:t>
            </w:r>
          </w:p>
        </w:tc>
      </w:tr>
      <w:tr w:rsidR="002A2422" w14:paraId="0F878BB6"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3844CCE1" w14:textId="77777777" w:rsidR="002A2422" w:rsidRDefault="003B3AD7">
            <w:pPr>
              <w:rPr>
                <w:rFonts w:ascii="Calibri" w:eastAsia="Times New Roman" w:hAnsi="Calibri" w:cs="Calibri"/>
                <w:color w:val="000000"/>
              </w:rPr>
            </w:pPr>
            <w:r>
              <w:rPr>
                <w:rFonts w:ascii="Calibri" w:eastAsia="Times New Roman" w:hAnsi="Calibri" w:cs="Calibri"/>
                <w:color w:val="000000"/>
              </w:rPr>
              <w:t>ΚΕΝΤΡΙΚΗ ΜΑΚΕΔΟΝΙΑ</w:t>
            </w:r>
          </w:p>
        </w:tc>
        <w:tc>
          <w:tcPr>
            <w:tcW w:w="1219" w:type="pct"/>
            <w:shd w:val="clear" w:color="auto" w:fill="DBDBDB" w:themeFill="accent3" w:themeFillTint="66"/>
            <w:noWrap/>
          </w:tcPr>
          <w:p w14:paraId="4274A26A"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38</w:t>
            </w:r>
          </w:p>
        </w:tc>
      </w:tr>
      <w:tr w:rsidR="002A2422" w14:paraId="544F368B"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5E07785E" w14:textId="77777777" w:rsidR="002A2422" w:rsidRDefault="003B3AD7">
            <w:pPr>
              <w:rPr>
                <w:rFonts w:ascii="Calibri" w:eastAsia="Times New Roman" w:hAnsi="Calibri" w:cs="Calibri"/>
                <w:color w:val="000000"/>
              </w:rPr>
            </w:pPr>
            <w:r>
              <w:rPr>
                <w:rFonts w:ascii="Calibri" w:eastAsia="Times New Roman" w:hAnsi="Calibri" w:cs="Calibri"/>
                <w:color w:val="000000"/>
              </w:rPr>
              <w:t>ΚΡΗΤΗ</w:t>
            </w:r>
          </w:p>
        </w:tc>
        <w:tc>
          <w:tcPr>
            <w:tcW w:w="1219" w:type="pct"/>
            <w:noWrap/>
          </w:tcPr>
          <w:p w14:paraId="5FA19147"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32</w:t>
            </w:r>
          </w:p>
        </w:tc>
      </w:tr>
      <w:tr w:rsidR="002A2422" w14:paraId="1CF37102"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7DEC65F5" w14:textId="77777777" w:rsidR="002A2422" w:rsidRDefault="003B3AD7">
            <w:pPr>
              <w:rPr>
                <w:rFonts w:ascii="Calibri" w:eastAsia="Times New Roman" w:hAnsi="Calibri" w:cs="Calibri"/>
                <w:color w:val="000000"/>
              </w:rPr>
            </w:pPr>
            <w:r>
              <w:rPr>
                <w:rFonts w:ascii="Calibri" w:eastAsia="Times New Roman" w:hAnsi="Calibri" w:cs="Calibri"/>
                <w:color w:val="000000"/>
              </w:rPr>
              <w:t>ΜΕΤΑΡΡΥΘΜΙΣΗ ΔΗΜΟΣΙΟΥ ΤΟΜΕΑ</w:t>
            </w:r>
          </w:p>
        </w:tc>
        <w:tc>
          <w:tcPr>
            <w:tcW w:w="1219" w:type="pct"/>
            <w:shd w:val="clear" w:color="auto" w:fill="DBDBDB" w:themeFill="accent3" w:themeFillTint="66"/>
            <w:noWrap/>
          </w:tcPr>
          <w:p w14:paraId="711064AF"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2A2422" w14:paraId="58859484"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42430EB3" w14:textId="77777777" w:rsidR="002A2422" w:rsidRDefault="003B3AD7">
            <w:pPr>
              <w:rPr>
                <w:rFonts w:ascii="Calibri" w:eastAsia="Times New Roman" w:hAnsi="Calibri" w:cs="Calibri"/>
                <w:color w:val="000000"/>
              </w:rPr>
            </w:pPr>
            <w:r>
              <w:rPr>
                <w:rFonts w:ascii="Calibri" w:eastAsia="Times New Roman" w:hAnsi="Calibri" w:cs="Calibri"/>
                <w:color w:val="000000"/>
              </w:rPr>
              <w:t>ΝΟΤΙΟ ΑΙΓΑΙΟ</w:t>
            </w:r>
          </w:p>
        </w:tc>
        <w:tc>
          <w:tcPr>
            <w:tcW w:w="1219" w:type="pct"/>
            <w:noWrap/>
          </w:tcPr>
          <w:p w14:paraId="2197D2FA"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w:t>
            </w:r>
          </w:p>
        </w:tc>
      </w:tr>
      <w:tr w:rsidR="002A2422" w14:paraId="48769846"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179F61AD" w14:textId="77777777" w:rsidR="002A2422" w:rsidRDefault="003B3AD7">
            <w:pPr>
              <w:rPr>
                <w:rFonts w:ascii="Calibri" w:eastAsia="Times New Roman" w:hAnsi="Calibri" w:cs="Calibri"/>
                <w:color w:val="000000"/>
              </w:rPr>
            </w:pPr>
            <w:r>
              <w:rPr>
                <w:rFonts w:ascii="Calibri" w:eastAsia="Times New Roman" w:hAnsi="Calibri" w:cs="Calibri"/>
                <w:color w:val="000000"/>
              </w:rPr>
              <w:t>ΠΕΛΟΠΟΝΝΗΣΟΣ</w:t>
            </w:r>
          </w:p>
        </w:tc>
        <w:tc>
          <w:tcPr>
            <w:tcW w:w="1219" w:type="pct"/>
            <w:shd w:val="clear" w:color="auto" w:fill="DBDBDB" w:themeFill="accent3" w:themeFillTint="66"/>
            <w:noWrap/>
          </w:tcPr>
          <w:p w14:paraId="5872D588"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29</w:t>
            </w:r>
          </w:p>
        </w:tc>
      </w:tr>
      <w:tr w:rsidR="002A2422" w14:paraId="77AFE615"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08BC956B" w14:textId="77777777" w:rsidR="002A2422" w:rsidRDefault="003B3AD7">
            <w:pPr>
              <w:rPr>
                <w:rFonts w:ascii="Calibri" w:eastAsia="Times New Roman" w:hAnsi="Calibri" w:cs="Calibri"/>
                <w:color w:val="000000"/>
              </w:rPr>
            </w:pPr>
            <w:r>
              <w:rPr>
                <w:rFonts w:ascii="Calibri" w:eastAsia="Times New Roman" w:hAnsi="Calibri" w:cs="Calibri"/>
                <w:color w:val="000000"/>
              </w:rPr>
              <w:t>ΣΤΕΡΕΑ ΕΛΛΑΔΑ</w:t>
            </w:r>
          </w:p>
        </w:tc>
        <w:tc>
          <w:tcPr>
            <w:tcW w:w="1219" w:type="pct"/>
            <w:noWrap/>
          </w:tcPr>
          <w:p w14:paraId="45BCD122"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w:t>
            </w:r>
          </w:p>
        </w:tc>
      </w:tr>
      <w:tr w:rsidR="002A2422" w14:paraId="03D071F5"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321AA093" w14:textId="77777777" w:rsidR="002A2422" w:rsidRDefault="003B3AD7">
            <w:pPr>
              <w:rPr>
                <w:rFonts w:ascii="Calibri" w:eastAsia="Times New Roman" w:hAnsi="Calibri" w:cs="Calibri"/>
                <w:color w:val="000000"/>
              </w:rPr>
            </w:pPr>
            <w:r>
              <w:rPr>
                <w:rFonts w:ascii="Calibri" w:eastAsia="Times New Roman" w:hAnsi="Calibri" w:cs="Calibri"/>
                <w:color w:val="000000"/>
              </w:rPr>
              <w:t>ΥΠΟΔΟΜΕΣ ΜΕΤΑΦΟΡΩΝ, ΠΕΡΙΒΑΛΛΟΝ &amp; ΑΕΙΦΟΡΟΣ ΑΝΑΠΤΥΞΗ 2014-2020</w:t>
            </w:r>
          </w:p>
        </w:tc>
        <w:tc>
          <w:tcPr>
            <w:tcW w:w="1219" w:type="pct"/>
            <w:shd w:val="clear" w:color="auto" w:fill="DBDBDB" w:themeFill="accent3" w:themeFillTint="66"/>
            <w:noWrap/>
          </w:tcPr>
          <w:p w14:paraId="428F0570"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w:t>
            </w:r>
          </w:p>
        </w:tc>
      </w:tr>
      <w:tr w:rsidR="002A2422" w14:paraId="0A8360FB"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3781" w:type="pct"/>
            <w:noWrap/>
          </w:tcPr>
          <w:p w14:paraId="6EB0766E" w14:textId="77777777" w:rsidR="002A2422" w:rsidRDefault="003B3AD7">
            <w:pPr>
              <w:rPr>
                <w:rFonts w:ascii="Calibri" w:eastAsia="Times New Roman" w:hAnsi="Calibri" w:cs="Calibri"/>
                <w:color w:val="000000"/>
              </w:rPr>
            </w:pPr>
            <w:r>
              <w:rPr>
                <w:rFonts w:ascii="Calibri" w:eastAsia="Times New Roman" w:hAnsi="Calibri" w:cs="Calibri"/>
                <w:color w:val="000000"/>
              </w:rPr>
              <w:t>Γενικό Άθροισμα</w:t>
            </w:r>
          </w:p>
        </w:tc>
        <w:tc>
          <w:tcPr>
            <w:tcW w:w="1219" w:type="pct"/>
            <w:noWrap/>
          </w:tcPr>
          <w:p w14:paraId="02BC3D2C"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318</w:t>
            </w:r>
          </w:p>
        </w:tc>
      </w:tr>
    </w:tbl>
    <w:p w14:paraId="6D2C462A" w14:textId="77777777" w:rsidR="002A2422" w:rsidRDefault="003B3AD7">
      <w:pPr>
        <w:rPr>
          <w:rFonts w:ascii="Times New Roman" w:eastAsia="Times New Roman" w:hAnsi="Times New Roman" w:cs="Times New Roman"/>
          <w:sz w:val="20"/>
          <w:szCs w:val="20"/>
        </w:rPr>
      </w:pPr>
      <w:r>
        <w:rPr>
          <w:rFonts w:asciiTheme="minorHAnsi" w:hAnsiTheme="minorHAnsi" w:cstheme="minorHAnsi"/>
        </w:rPr>
        <w:t xml:space="preserve">Πίνακας 6: Αριθμός  ενταγμένων έργων τομέα Πολιτισμού ανά ΕΠ </w:t>
      </w:r>
      <w:r>
        <w:rPr>
          <w:rFonts w:ascii="Times New Roman" w:eastAsia="Times New Roman" w:hAnsi="Times New Roman" w:cs="Times New Roman"/>
          <w:b/>
          <w:bCs/>
          <w:sz w:val="20"/>
          <w:szCs w:val="20"/>
        </w:rPr>
        <w:t>(στοιχεία 04.2021)</w:t>
      </w:r>
    </w:p>
    <w:p w14:paraId="568CA6F1" w14:textId="77777777" w:rsidR="002A2422" w:rsidRDefault="002A2422">
      <w:pPr>
        <w:tabs>
          <w:tab w:val="left" w:pos="1216"/>
        </w:tabs>
        <w:rPr>
          <w:rFonts w:asciiTheme="minorHAnsi" w:hAnsiTheme="minorHAnsi" w:cstheme="minorHAnsi"/>
        </w:rPr>
      </w:pPr>
    </w:p>
    <w:p w14:paraId="6CED599E" w14:textId="77777777" w:rsidR="002A2422" w:rsidRDefault="003B3AD7">
      <w:r>
        <w:rPr>
          <w:noProof/>
        </w:rPr>
        <w:lastRenderedPageBreak/>
        <w:drawing>
          <wp:inline distT="0" distB="0" distL="0" distR="0" wp14:anchorId="30403621" wp14:editId="2A69561F">
            <wp:extent cx="5274310" cy="5205730"/>
            <wp:effectExtent l="38100" t="0" r="40640" b="13970"/>
            <wp:docPr id="3"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93FC14" w14:textId="77777777" w:rsidR="002A2422" w:rsidRDefault="003B3AD7">
      <w:pPr>
        <w:rPr>
          <w:rFonts w:ascii="Times New Roman" w:eastAsia="Times New Roman" w:hAnsi="Times New Roman" w:cs="Times New Roman"/>
          <w:sz w:val="20"/>
          <w:szCs w:val="20"/>
        </w:rPr>
      </w:pPr>
      <w:r>
        <w:rPr>
          <w:rFonts w:asciiTheme="minorHAnsi" w:hAnsiTheme="minorHAnsi" w:cstheme="minorHAnsi"/>
        </w:rPr>
        <w:t xml:space="preserve">Διάγραμμα 5: Αριθμός  ενταγμένων έργων τομέα Πολιτισμού ανά ΕΠ  </w:t>
      </w:r>
      <w:r>
        <w:rPr>
          <w:rFonts w:ascii="Times New Roman" w:eastAsia="Times New Roman" w:hAnsi="Times New Roman" w:cs="Times New Roman"/>
          <w:b/>
          <w:bCs/>
          <w:sz w:val="20"/>
          <w:szCs w:val="20"/>
        </w:rPr>
        <w:t>(στοιχεία 04.2021)</w:t>
      </w:r>
    </w:p>
    <w:p w14:paraId="103A8ADF" w14:textId="77777777" w:rsidR="002A2422" w:rsidRDefault="002A2422">
      <w:pPr>
        <w:tabs>
          <w:tab w:val="left" w:pos="1216"/>
        </w:tabs>
        <w:rPr>
          <w:rFonts w:asciiTheme="minorHAnsi" w:hAnsiTheme="minorHAnsi" w:cstheme="minorHAnsi"/>
        </w:rPr>
      </w:pPr>
    </w:p>
    <w:p w14:paraId="30EE4D4D" w14:textId="77777777" w:rsidR="002A2422" w:rsidRDefault="002A2422">
      <w:pPr>
        <w:tabs>
          <w:tab w:val="left" w:pos="1216"/>
        </w:tabs>
        <w:rPr>
          <w:b/>
          <w:bCs/>
        </w:rPr>
      </w:pPr>
    </w:p>
    <w:p w14:paraId="411856F8" w14:textId="77777777" w:rsidR="002A2422" w:rsidRDefault="002A2422">
      <w:pPr>
        <w:tabs>
          <w:tab w:val="left" w:pos="1216"/>
        </w:tabs>
        <w:rPr>
          <w:b/>
          <w:bCs/>
        </w:rPr>
      </w:pPr>
    </w:p>
    <w:p w14:paraId="5DCD3352" w14:textId="77777777" w:rsidR="002A2422" w:rsidRDefault="002A2422">
      <w:pPr>
        <w:tabs>
          <w:tab w:val="left" w:pos="1216"/>
        </w:tabs>
        <w:rPr>
          <w:b/>
          <w:bCs/>
        </w:rPr>
      </w:pPr>
    </w:p>
    <w:p w14:paraId="2436B8B7" w14:textId="77777777" w:rsidR="002A2422" w:rsidRDefault="002A2422">
      <w:pPr>
        <w:spacing w:line="240" w:lineRule="auto"/>
        <w:rPr>
          <w:rFonts w:ascii="Times New Roman" w:eastAsia="Times New Roman" w:hAnsi="Times New Roman" w:cs="Times New Roman"/>
          <w:sz w:val="24"/>
          <w:szCs w:val="24"/>
        </w:rPr>
      </w:pPr>
    </w:p>
    <w:p w14:paraId="62591BD8" w14:textId="77777777" w:rsidR="002A2422" w:rsidRDefault="002A2422">
      <w:pPr>
        <w:spacing w:line="240" w:lineRule="auto"/>
        <w:rPr>
          <w:rFonts w:ascii="Times New Roman" w:eastAsia="Times New Roman" w:hAnsi="Times New Roman" w:cs="Times New Roman"/>
          <w:sz w:val="24"/>
          <w:szCs w:val="24"/>
        </w:rPr>
      </w:pPr>
    </w:p>
    <w:p w14:paraId="0F8E25BB" w14:textId="77777777" w:rsidR="002A2422" w:rsidRDefault="002A2422">
      <w:pPr>
        <w:spacing w:line="240" w:lineRule="auto"/>
        <w:rPr>
          <w:rFonts w:ascii="Times New Roman" w:eastAsia="Times New Roman" w:hAnsi="Times New Roman" w:cs="Times New Roman"/>
          <w:sz w:val="24"/>
          <w:szCs w:val="24"/>
        </w:rPr>
      </w:pPr>
    </w:p>
    <w:p w14:paraId="5B4A3EDD" w14:textId="77777777" w:rsidR="002A2422" w:rsidRDefault="002A2422">
      <w:pPr>
        <w:spacing w:line="240" w:lineRule="auto"/>
      </w:pPr>
    </w:p>
    <w:p w14:paraId="4A5A8C83" w14:textId="77777777" w:rsidR="002A2422" w:rsidRDefault="002A2422">
      <w:pPr>
        <w:jc w:val="center"/>
      </w:pPr>
    </w:p>
    <w:p w14:paraId="0ECD4A78" w14:textId="77777777" w:rsidR="002A2422" w:rsidRDefault="002A2422">
      <w:pPr>
        <w:jc w:val="center"/>
      </w:pPr>
    </w:p>
    <w:p w14:paraId="74AE9F01" w14:textId="77777777" w:rsidR="002A2422" w:rsidRDefault="002A2422">
      <w:pPr>
        <w:jc w:val="center"/>
      </w:pPr>
    </w:p>
    <w:p w14:paraId="6A16D927" w14:textId="77777777" w:rsidR="002A2422" w:rsidRDefault="002A2422">
      <w:pPr>
        <w:jc w:val="center"/>
      </w:pPr>
    </w:p>
    <w:p w14:paraId="0995ADAC" w14:textId="77777777" w:rsidR="002A2422" w:rsidRDefault="002A2422">
      <w:pPr>
        <w:jc w:val="center"/>
      </w:pPr>
    </w:p>
    <w:p w14:paraId="4E3466AA" w14:textId="77777777" w:rsidR="002A2422" w:rsidRDefault="002A2422"/>
    <w:p w14:paraId="4B537707" w14:textId="77777777" w:rsidR="002A2422" w:rsidRDefault="002A2422"/>
    <w:p w14:paraId="5C0A1744" w14:textId="77777777" w:rsidR="002A2422" w:rsidRDefault="003B3AD7">
      <w:pPr>
        <w:pStyle w:val="3"/>
      </w:pPr>
      <w:bookmarkStart w:id="40" w:name="_Toc73665480"/>
      <w:bookmarkStart w:id="41" w:name="_Toc68011195"/>
      <w:r>
        <w:t>Περιφερειακή Κατανομή Πράξεων στον Τομέα του Πολιτισμού</w:t>
      </w:r>
      <w:bookmarkEnd w:id="40"/>
      <w:bookmarkEnd w:id="41"/>
    </w:p>
    <w:p w14:paraId="0A2B6FBC" w14:textId="77777777" w:rsidR="002A2422" w:rsidRDefault="002A2422">
      <w:pPr>
        <w:rPr>
          <w:rFonts w:ascii="Times New Roman" w:eastAsia="Times New Roman" w:hAnsi="Times New Roman" w:cs="Times New Roman"/>
          <w:sz w:val="24"/>
          <w:szCs w:val="24"/>
        </w:rPr>
      </w:pPr>
    </w:p>
    <w:tbl>
      <w:tblPr>
        <w:tblStyle w:val="4-31"/>
        <w:tblW w:w="5439" w:type="pct"/>
        <w:tblLayout w:type="fixed"/>
        <w:tblLook w:val="04A0" w:firstRow="1" w:lastRow="0" w:firstColumn="1" w:lastColumn="0" w:noHBand="0" w:noVBand="1"/>
      </w:tblPr>
      <w:tblGrid>
        <w:gridCol w:w="5908"/>
        <w:gridCol w:w="4582"/>
      </w:tblGrid>
      <w:tr w:rsidR="002A2422" w14:paraId="66766AE4" w14:textId="77777777" w:rsidTr="002A242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16" w:type="pct"/>
            <w:noWrap/>
          </w:tcPr>
          <w:p w14:paraId="3F6A4594" w14:textId="77777777" w:rsidR="002A2422" w:rsidRDefault="003B3AD7">
            <w:pPr>
              <w:rPr>
                <w:rFonts w:ascii="Calibri" w:eastAsia="Times New Roman" w:hAnsi="Calibri" w:cs="Calibri"/>
                <w:color w:val="000000"/>
              </w:rPr>
            </w:pPr>
            <w:r>
              <w:rPr>
                <w:rFonts w:ascii="Calibri" w:eastAsia="Times New Roman" w:hAnsi="Calibri" w:cs="Calibri"/>
                <w:color w:val="000000"/>
              </w:rPr>
              <w:t xml:space="preserve">ΠΕΡΙΦΕΡΕΙΕΣ | ΧΩΡΙΚΗ ΚΑΤΑΝΟΜΗ </w:t>
            </w:r>
          </w:p>
        </w:tc>
        <w:tc>
          <w:tcPr>
            <w:tcW w:w="2184" w:type="pct"/>
            <w:noWrap/>
          </w:tcPr>
          <w:p w14:paraId="6AFC2723" w14:textId="77777777" w:rsidR="002A2422" w:rsidRDefault="003B3AD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ΣΥΝΟΛΙΚΗ ΔΗΜΟΣΙΑ ΔΑΠΑΝΗ ΠΡΑΞΗΣ (Π/Υ)</w:t>
            </w:r>
            <w:r>
              <w:rPr>
                <w:rFonts w:ascii="Calibri" w:eastAsia="Times New Roman" w:hAnsi="Calibri" w:cs="Calibri"/>
                <w:color w:val="000000"/>
              </w:rPr>
              <w:br/>
              <w:t xml:space="preserve"> </w:t>
            </w:r>
          </w:p>
        </w:tc>
      </w:tr>
      <w:tr w:rsidR="002A2422" w14:paraId="54CDF7D3" w14:textId="77777777" w:rsidTr="002A2422">
        <w:trPr>
          <w:trHeight w:val="330"/>
        </w:trPr>
        <w:tc>
          <w:tcPr>
            <w:cnfStyle w:val="001000000000" w:firstRow="0" w:lastRow="0" w:firstColumn="1" w:lastColumn="0" w:oddVBand="0" w:evenVBand="0" w:oddHBand="0" w:evenHBand="0" w:firstRowFirstColumn="0" w:firstRowLastColumn="0" w:lastRowFirstColumn="0" w:lastRowLastColumn="0"/>
            <w:tcW w:w="2816" w:type="pct"/>
            <w:shd w:val="clear" w:color="auto" w:fill="EDEDED" w:themeFill="accent3" w:themeFillTint="33"/>
            <w:noWrap/>
          </w:tcPr>
          <w:p w14:paraId="67EF8C5C" w14:textId="77777777" w:rsidR="002A2422" w:rsidRDefault="003B3AD7">
            <w:pPr>
              <w:rPr>
                <w:rFonts w:ascii="Calibri" w:eastAsia="Times New Roman" w:hAnsi="Calibri" w:cs="Calibri"/>
                <w:color w:val="000000"/>
              </w:rPr>
            </w:pPr>
            <w:r>
              <w:rPr>
                <w:rFonts w:ascii="Calibri" w:eastAsia="Times New Roman" w:hAnsi="Calibri" w:cs="Calibri"/>
                <w:color w:val="000000"/>
              </w:rPr>
              <w:t>ΑΝΑΤΟΛΙΚΗΣ ΜΑΚΕΔΟΝΙΑΣ ΘΡΑΚΗΣ</w:t>
            </w:r>
          </w:p>
        </w:tc>
        <w:tc>
          <w:tcPr>
            <w:tcW w:w="2184" w:type="pct"/>
            <w:shd w:val="clear" w:color="auto" w:fill="EDEDED" w:themeFill="accent3" w:themeFillTint="33"/>
            <w:noWrap/>
          </w:tcPr>
          <w:p w14:paraId="6BE895F6"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36.394.084,54 €</w:t>
            </w:r>
          </w:p>
        </w:tc>
      </w:tr>
      <w:tr w:rsidR="002A2422" w14:paraId="5CDD7C18" w14:textId="77777777" w:rsidTr="002A2422">
        <w:trPr>
          <w:trHeight w:val="330"/>
        </w:trPr>
        <w:tc>
          <w:tcPr>
            <w:cnfStyle w:val="001000000000" w:firstRow="0" w:lastRow="0" w:firstColumn="1" w:lastColumn="0" w:oddVBand="0" w:evenVBand="0" w:oddHBand="0" w:evenHBand="0" w:firstRowFirstColumn="0" w:firstRowLastColumn="0" w:lastRowFirstColumn="0" w:lastRowLastColumn="0"/>
            <w:tcW w:w="2816" w:type="pct"/>
            <w:noWrap/>
          </w:tcPr>
          <w:p w14:paraId="7CA9446C" w14:textId="77777777" w:rsidR="002A2422" w:rsidRDefault="003B3AD7">
            <w:pPr>
              <w:rPr>
                <w:rFonts w:ascii="Calibri" w:eastAsia="Times New Roman" w:hAnsi="Calibri" w:cs="Calibri"/>
                <w:color w:val="000000"/>
              </w:rPr>
            </w:pPr>
            <w:r>
              <w:rPr>
                <w:rFonts w:ascii="Calibri" w:eastAsia="Times New Roman" w:hAnsi="Calibri" w:cs="Calibri"/>
                <w:color w:val="000000"/>
              </w:rPr>
              <w:t>ΑΤΤΙΚΗΣ</w:t>
            </w:r>
          </w:p>
        </w:tc>
        <w:tc>
          <w:tcPr>
            <w:tcW w:w="2184" w:type="pct"/>
            <w:noWrap/>
          </w:tcPr>
          <w:p w14:paraId="04B2DD39"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55.051.701,94 €</w:t>
            </w:r>
          </w:p>
        </w:tc>
      </w:tr>
      <w:tr w:rsidR="002A2422" w14:paraId="6FBC3982" w14:textId="77777777" w:rsidTr="002A2422">
        <w:trPr>
          <w:trHeight w:val="330"/>
        </w:trPr>
        <w:tc>
          <w:tcPr>
            <w:cnfStyle w:val="001000000000" w:firstRow="0" w:lastRow="0" w:firstColumn="1" w:lastColumn="0" w:oddVBand="0" w:evenVBand="0" w:oddHBand="0" w:evenHBand="0" w:firstRowFirstColumn="0" w:firstRowLastColumn="0" w:lastRowFirstColumn="0" w:lastRowLastColumn="0"/>
            <w:tcW w:w="2816" w:type="pct"/>
            <w:shd w:val="clear" w:color="auto" w:fill="EDEDED" w:themeFill="accent3" w:themeFillTint="33"/>
            <w:noWrap/>
          </w:tcPr>
          <w:p w14:paraId="37EE7AE3" w14:textId="77777777" w:rsidR="002A2422" w:rsidRDefault="003B3AD7">
            <w:pPr>
              <w:rPr>
                <w:rFonts w:ascii="Calibri" w:eastAsia="Times New Roman" w:hAnsi="Calibri" w:cs="Calibri"/>
                <w:color w:val="000000"/>
              </w:rPr>
            </w:pPr>
            <w:r>
              <w:rPr>
                <w:rFonts w:ascii="Calibri" w:eastAsia="Times New Roman" w:hAnsi="Calibri" w:cs="Calibri"/>
                <w:color w:val="000000"/>
              </w:rPr>
              <w:t>ΒΟΡΕΙΟΥ ΑΙΓΑΙΟΥ</w:t>
            </w:r>
          </w:p>
        </w:tc>
        <w:tc>
          <w:tcPr>
            <w:tcW w:w="2184" w:type="pct"/>
            <w:shd w:val="clear" w:color="auto" w:fill="EDEDED" w:themeFill="accent3" w:themeFillTint="33"/>
            <w:noWrap/>
          </w:tcPr>
          <w:p w14:paraId="52ED2BF5"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21.522.227,50 €</w:t>
            </w:r>
          </w:p>
        </w:tc>
      </w:tr>
      <w:tr w:rsidR="002A2422" w14:paraId="42BA34D9" w14:textId="77777777" w:rsidTr="002A2422">
        <w:trPr>
          <w:trHeight w:val="330"/>
        </w:trPr>
        <w:tc>
          <w:tcPr>
            <w:cnfStyle w:val="001000000000" w:firstRow="0" w:lastRow="0" w:firstColumn="1" w:lastColumn="0" w:oddVBand="0" w:evenVBand="0" w:oddHBand="0" w:evenHBand="0" w:firstRowFirstColumn="0" w:firstRowLastColumn="0" w:lastRowFirstColumn="0" w:lastRowLastColumn="0"/>
            <w:tcW w:w="2816" w:type="pct"/>
            <w:noWrap/>
          </w:tcPr>
          <w:p w14:paraId="22F71276" w14:textId="77777777" w:rsidR="002A2422" w:rsidRDefault="003B3AD7">
            <w:pPr>
              <w:rPr>
                <w:rFonts w:ascii="Calibri" w:eastAsia="Times New Roman" w:hAnsi="Calibri" w:cs="Calibri"/>
                <w:color w:val="000000"/>
              </w:rPr>
            </w:pPr>
            <w:r>
              <w:rPr>
                <w:rFonts w:ascii="Calibri" w:eastAsia="Times New Roman" w:hAnsi="Calibri" w:cs="Calibri"/>
                <w:color w:val="000000"/>
              </w:rPr>
              <w:t>ΔΥΤΙΚΗΣ ΕΛΛΑΔΑΣ</w:t>
            </w:r>
          </w:p>
        </w:tc>
        <w:tc>
          <w:tcPr>
            <w:tcW w:w="2184" w:type="pct"/>
            <w:noWrap/>
          </w:tcPr>
          <w:p w14:paraId="7B8BF16F"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15.268.255,16 €</w:t>
            </w:r>
          </w:p>
        </w:tc>
      </w:tr>
      <w:tr w:rsidR="002A2422" w14:paraId="5FEDB390" w14:textId="77777777" w:rsidTr="002A2422">
        <w:trPr>
          <w:trHeight w:val="330"/>
        </w:trPr>
        <w:tc>
          <w:tcPr>
            <w:cnfStyle w:val="001000000000" w:firstRow="0" w:lastRow="0" w:firstColumn="1" w:lastColumn="0" w:oddVBand="0" w:evenVBand="0" w:oddHBand="0" w:evenHBand="0" w:firstRowFirstColumn="0" w:firstRowLastColumn="0" w:lastRowFirstColumn="0" w:lastRowLastColumn="0"/>
            <w:tcW w:w="2816" w:type="pct"/>
            <w:shd w:val="clear" w:color="auto" w:fill="EDEDED" w:themeFill="accent3" w:themeFillTint="33"/>
            <w:noWrap/>
          </w:tcPr>
          <w:p w14:paraId="7C8A36AE" w14:textId="77777777" w:rsidR="002A2422" w:rsidRDefault="003B3AD7">
            <w:pPr>
              <w:rPr>
                <w:rFonts w:ascii="Calibri" w:eastAsia="Times New Roman" w:hAnsi="Calibri" w:cs="Calibri"/>
                <w:color w:val="000000"/>
              </w:rPr>
            </w:pPr>
            <w:r>
              <w:rPr>
                <w:rFonts w:ascii="Calibri" w:eastAsia="Times New Roman" w:hAnsi="Calibri" w:cs="Calibri"/>
                <w:color w:val="000000"/>
              </w:rPr>
              <w:t>ΔΥΤΙΚΗΣ ΜΑΚΕΔΟΝΙΑΣ</w:t>
            </w:r>
          </w:p>
        </w:tc>
        <w:tc>
          <w:tcPr>
            <w:tcW w:w="2184" w:type="pct"/>
            <w:shd w:val="clear" w:color="auto" w:fill="EDEDED" w:themeFill="accent3" w:themeFillTint="33"/>
            <w:noWrap/>
          </w:tcPr>
          <w:p w14:paraId="5D60A6D9"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10.832.122,25 €</w:t>
            </w:r>
          </w:p>
        </w:tc>
      </w:tr>
      <w:tr w:rsidR="002A2422" w14:paraId="75E8CD9C" w14:textId="77777777" w:rsidTr="002A2422">
        <w:trPr>
          <w:trHeight w:val="330"/>
        </w:trPr>
        <w:tc>
          <w:tcPr>
            <w:cnfStyle w:val="001000000000" w:firstRow="0" w:lastRow="0" w:firstColumn="1" w:lastColumn="0" w:oddVBand="0" w:evenVBand="0" w:oddHBand="0" w:evenHBand="0" w:firstRowFirstColumn="0" w:firstRowLastColumn="0" w:lastRowFirstColumn="0" w:lastRowLastColumn="0"/>
            <w:tcW w:w="2816" w:type="pct"/>
            <w:noWrap/>
          </w:tcPr>
          <w:p w14:paraId="3D0E8842" w14:textId="77777777" w:rsidR="002A2422" w:rsidRDefault="003B3AD7">
            <w:pPr>
              <w:rPr>
                <w:rFonts w:ascii="Calibri" w:eastAsia="Times New Roman" w:hAnsi="Calibri" w:cs="Calibri"/>
                <w:color w:val="000000"/>
              </w:rPr>
            </w:pPr>
            <w:r>
              <w:rPr>
                <w:rFonts w:ascii="Calibri" w:eastAsia="Times New Roman" w:hAnsi="Calibri" w:cs="Calibri"/>
                <w:color w:val="000000"/>
              </w:rPr>
              <w:t>ΗΠΕΙΡΟΥ</w:t>
            </w:r>
          </w:p>
        </w:tc>
        <w:tc>
          <w:tcPr>
            <w:tcW w:w="2184" w:type="pct"/>
            <w:noWrap/>
          </w:tcPr>
          <w:p w14:paraId="718E29DC"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14.956.884,33 €</w:t>
            </w:r>
          </w:p>
        </w:tc>
      </w:tr>
      <w:tr w:rsidR="002A2422" w14:paraId="27289333" w14:textId="77777777" w:rsidTr="002A2422">
        <w:trPr>
          <w:trHeight w:val="330"/>
        </w:trPr>
        <w:tc>
          <w:tcPr>
            <w:cnfStyle w:val="001000000000" w:firstRow="0" w:lastRow="0" w:firstColumn="1" w:lastColumn="0" w:oddVBand="0" w:evenVBand="0" w:oddHBand="0" w:evenHBand="0" w:firstRowFirstColumn="0" w:firstRowLastColumn="0" w:lastRowFirstColumn="0" w:lastRowLastColumn="0"/>
            <w:tcW w:w="2816" w:type="pct"/>
            <w:shd w:val="clear" w:color="auto" w:fill="EDEDED" w:themeFill="accent3" w:themeFillTint="33"/>
            <w:noWrap/>
          </w:tcPr>
          <w:p w14:paraId="7F24E110" w14:textId="77777777" w:rsidR="002A2422" w:rsidRDefault="003B3AD7">
            <w:pPr>
              <w:rPr>
                <w:rFonts w:ascii="Calibri" w:eastAsia="Times New Roman" w:hAnsi="Calibri" w:cs="Calibri"/>
                <w:color w:val="000000"/>
              </w:rPr>
            </w:pPr>
            <w:r>
              <w:rPr>
                <w:rFonts w:ascii="Calibri" w:eastAsia="Times New Roman" w:hAnsi="Calibri" w:cs="Calibri"/>
                <w:color w:val="000000"/>
              </w:rPr>
              <w:t>ΘΕΣΣΑΛΙΑΣ</w:t>
            </w:r>
          </w:p>
        </w:tc>
        <w:tc>
          <w:tcPr>
            <w:tcW w:w="2184" w:type="pct"/>
            <w:shd w:val="clear" w:color="auto" w:fill="EDEDED" w:themeFill="accent3" w:themeFillTint="33"/>
            <w:noWrap/>
          </w:tcPr>
          <w:p w14:paraId="44DB2BB5"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16.235.050,00 €</w:t>
            </w:r>
          </w:p>
        </w:tc>
      </w:tr>
      <w:tr w:rsidR="002A2422" w14:paraId="490067F8" w14:textId="77777777" w:rsidTr="002A2422">
        <w:trPr>
          <w:trHeight w:val="330"/>
        </w:trPr>
        <w:tc>
          <w:tcPr>
            <w:cnfStyle w:val="001000000000" w:firstRow="0" w:lastRow="0" w:firstColumn="1" w:lastColumn="0" w:oddVBand="0" w:evenVBand="0" w:oddHBand="0" w:evenHBand="0" w:firstRowFirstColumn="0" w:firstRowLastColumn="0" w:lastRowFirstColumn="0" w:lastRowLastColumn="0"/>
            <w:tcW w:w="2816" w:type="pct"/>
            <w:noWrap/>
          </w:tcPr>
          <w:p w14:paraId="5AA3DA33" w14:textId="77777777" w:rsidR="002A2422" w:rsidRDefault="003B3AD7">
            <w:pPr>
              <w:rPr>
                <w:rFonts w:ascii="Calibri" w:eastAsia="Times New Roman" w:hAnsi="Calibri" w:cs="Calibri"/>
                <w:color w:val="000000"/>
              </w:rPr>
            </w:pPr>
            <w:r>
              <w:rPr>
                <w:rFonts w:ascii="Calibri" w:eastAsia="Times New Roman" w:hAnsi="Calibri" w:cs="Calibri"/>
                <w:color w:val="000000"/>
              </w:rPr>
              <w:t>ΙΟΝΙΩΝ ΝΗΣΩΝ</w:t>
            </w:r>
          </w:p>
        </w:tc>
        <w:tc>
          <w:tcPr>
            <w:tcW w:w="2184" w:type="pct"/>
            <w:noWrap/>
          </w:tcPr>
          <w:p w14:paraId="5AF6CC17"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24.887.824,96 €</w:t>
            </w:r>
          </w:p>
        </w:tc>
      </w:tr>
      <w:tr w:rsidR="002A2422" w14:paraId="43E763F8" w14:textId="77777777" w:rsidTr="002A2422">
        <w:trPr>
          <w:trHeight w:val="330"/>
        </w:trPr>
        <w:tc>
          <w:tcPr>
            <w:cnfStyle w:val="001000000000" w:firstRow="0" w:lastRow="0" w:firstColumn="1" w:lastColumn="0" w:oddVBand="0" w:evenVBand="0" w:oddHBand="0" w:evenHBand="0" w:firstRowFirstColumn="0" w:firstRowLastColumn="0" w:lastRowFirstColumn="0" w:lastRowLastColumn="0"/>
            <w:tcW w:w="2816" w:type="pct"/>
            <w:shd w:val="clear" w:color="auto" w:fill="EDEDED" w:themeFill="accent3" w:themeFillTint="33"/>
            <w:noWrap/>
          </w:tcPr>
          <w:p w14:paraId="2FA1783A" w14:textId="77777777" w:rsidR="002A2422" w:rsidRDefault="003B3AD7">
            <w:pPr>
              <w:rPr>
                <w:rFonts w:ascii="Calibri" w:eastAsia="Times New Roman" w:hAnsi="Calibri" w:cs="Calibri"/>
                <w:color w:val="000000"/>
              </w:rPr>
            </w:pPr>
            <w:r>
              <w:rPr>
                <w:rFonts w:ascii="Calibri" w:eastAsia="Times New Roman" w:hAnsi="Calibri" w:cs="Calibri"/>
                <w:color w:val="000000"/>
              </w:rPr>
              <w:t>ΚΕΝΤΡΙΚΗΣ ΜΑΚΕΔΟΝΙΑΣ</w:t>
            </w:r>
          </w:p>
        </w:tc>
        <w:tc>
          <w:tcPr>
            <w:tcW w:w="2184" w:type="pct"/>
            <w:shd w:val="clear" w:color="auto" w:fill="EDEDED" w:themeFill="accent3" w:themeFillTint="33"/>
            <w:noWrap/>
          </w:tcPr>
          <w:p w14:paraId="608E0875"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49.422.399,35 €</w:t>
            </w:r>
          </w:p>
        </w:tc>
      </w:tr>
      <w:tr w:rsidR="002A2422" w14:paraId="2A4194AB" w14:textId="77777777" w:rsidTr="002A2422">
        <w:trPr>
          <w:trHeight w:val="330"/>
        </w:trPr>
        <w:tc>
          <w:tcPr>
            <w:cnfStyle w:val="001000000000" w:firstRow="0" w:lastRow="0" w:firstColumn="1" w:lastColumn="0" w:oddVBand="0" w:evenVBand="0" w:oddHBand="0" w:evenHBand="0" w:firstRowFirstColumn="0" w:firstRowLastColumn="0" w:lastRowFirstColumn="0" w:lastRowLastColumn="0"/>
            <w:tcW w:w="2816" w:type="pct"/>
            <w:noWrap/>
          </w:tcPr>
          <w:p w14:paraId="1EF2F76A" w14:textId="77777777" w:rsidR="002A2422" w:rsidRDefault="003B3AD7">
            <w:pPr>
              <w:rPr>
                <w:rFonts w:ascii="Calibri" w:eastAsia="Times New Roman" w:hAnsi="Calibri" w:cs="Calibri"/>
                <w:color w:val="000000"/>
              </w:rPr>
            </w:pPr>
            <w:r>
              <w:rPr>
                <w:rFonts w:ascii="Calibri" w:eastAsia="Times New Roman" w:hAnsi="Calibri" w:cs="Calibri"/>
                <w:color w:val="000000"/>
              </w:rPr>
              <w:t>ΚΡΗΤΗΣ</w:t>
            </w:r>
          </w:p>
        </w:tc>
        <w:tc>
          <w:tcPr>
            <w:tcW w:w="2184" w:type="pct"/>
            <w:noWrap/>
          </w:tcPr>
          <w:p w14:paraId="6A0A5A92"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24.790.786,25 €</w:t>
            </w:r>
          </w:p>
        </w:tc>
      </w:tr>
      <w:tr w:rsidR="002A2422" w14:paraId="67417FA9" w14:textId="77777777" w:rsidTr="002A2422">
        <w:trPr>
          <w:trHeight w:val="330"/>
        </w:trPr>
        <w:tc>
          <w:tcPr>
            <w:cnfStyle w:val="001000000000" w:firstRow="0" w:lastRow="0" w:firstColumn="1" w:lastColumn="0" w:oddVBand="0" w:evenVBand="0" w:oddHBand="0" w:evenHBand="0" w:firstRowFirstColumn="0" w:firstRowLastColumn="0" w:lastRowFirstColumn="0" w:lastRowLastColumn="0"/>
            <w:tcW w:w="2816" w:type="pct"/>
            <w:shd w:val="clear" w:color="auto" w:fill="EDEDED" w:themeFill="accent3" w:themeFillTint="33"/>
            <w:noWrap/>
          </w:tcPr>
          <w:p w14:paraId="30F120BD" w14:textId="77777777" w:rsidR="002A2422" w:rsidRDefault="003B3AD7">
            <w:pPr>
              <w:rPr>
                <w:rFonts w:ascii="Calibri" w:eastAsia="Times New Roman" w:hAnsi="Calibri" w:cs="Calibri"/>
                <w:color w:val="000000"/>
              </w:rPr>
            </w:pPr>
            <w:r>
              <w:rPr>
                <w:rFonts w:ascii="Calibri" w:eastAsia="Times New Roman" w:hAnsi="Calibri" w:cs="Calibri"/>
                <w:color w:val="000000"/>
              </w:rPr>
              <w:t>ΝΟΤΙΟΥ ΑΙΓΑΙΟΥ</w:t>
            </w:r>
          </w:p>
        </w:tc>
        <w:tc>
          <w:tcPr>
            <w:tcW w:w="2184" w:type="pct"/>
            <w:shd w:val="clear" w:color="auto" w:fill="EDEDED" w:themeFill="accent3" w:themeFillTint="33"/>
            <w:noWrap/>
          </w:tcPr>
          <w:p w14:paraId="2D81CA7A"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16.846.024,33 €</w:t>
            </w:r>
          </w:p>
        </w:tc>
      </w:tr>
      <w:tr w:rsidR="002A2422" w14:paraId="1D9D0C3D" w14:textId="77777777" w:rsidTr="002A2422">
        <w:trPr>
          <w:trHeight w:val="330"/>
        </w:trPr>
        <w:tc>
          <w:tcPr>
            <w:cnfStyle w:val="001000000000" w:firstRow="0" w:lastRow="0" w:firstColumn="1" w:lastColumn="0" w:oddVBand="0" w:evenVBand="0" w:oddHBand="0" w:evenHBand="0" w:firstRowFirstColumn="0" w:firstRowLastColumn="0" w:lastRowFirstColumn="0" w:lastRowLastColumn="0"/>
            <w:tcW w:w="2816" w:type="pct"/>
            <w:noWrap/>
          </w:tcPr>
          <w:p w14:paraId="56CB7253" w14:textId="77777777" w:rsidR="002A2422" w:rsidRDefault="003B3AD7">
            <w:pPr>
              <w:rPr>
                <w:rFonts w:ascii="Calibri" w:eastAsia="Times New Roman" w:hAnsi="Calibri" w:cs="Calibri"/>
                <w:color w:val="000000"/>
              </w:rPr>
            </w:pPr>
            <w:r>
              <w:rPr>
                <w:rFonts w:ascii="Calibri" w:eastAsia="Times New Roman" w:hAnsi="Calibri" w:cs="Calibri"/>
                <w:color w:val="000000"/>
              </w:rPr>
              <w:t>ΟΡΙΖΟΝΤΙΕΣ ΔΡΑΣΕΙΣ</w:t>
            </w:r>
          </w:p>
        </w:tc>
        <w:tc>
          <w:tcPr>
            <w:tcW w:w="2184" w:type="pct"/>
            <w:noWrap/>
          </w:tcPr>
          <w:p w14:paraId="55EDC4A0"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18.451.357,45 €</w:t>
            </w:r>
          </w:p>
        </w:tc>
      </w:tr>
      <w:tr w:rsidR="002A2422" w14:paraId="790A36FB" w14:textId="77777777" w:rsidTr="002A2422">
        <w:trPr>
          <w:trHeight w:val="330"/>
        </w:trPr>
        <w:tc>
          <w:tcPr>
            <w:cnfStyle w:val="001000000000" w:firstRow="0" w:lastRow="0" w:firstColumn="1" w:lastColumn="0" w:oddVBand="0" w:evenVBand="0" w:oddHBand="0" w:evenHBand="0" w:firstRowFirstColumn="0" w:firstRowLastColumn="0" w:lastRowFirstColumn="0" w:lastRowLastColumn="0"/>
            <w:tcW w:w="2816" w:type="pct"/>
            <w:shd w:val="clear" w:color="auto" w:fill="EDEDED" w:themeFill="accent3" w:themeFillTint="33"/>
            <w:noWrap/>
          </w:tcPr>
          <w:p w14:paraId="2CEB3908" w14:textId="77777777" w:rsidR="002A2422" w:rsidRDefault="003B3AD7">
            <w:pPr>
              <w:rPr>
                <w:rFonts w:ascii="Calibri" w:eastAsia="Times New Roman" w:hAnsi="Calibri" w:cs="Calibri"/>
                <w:color w:val="000000"/>
              </w:rPr>
            </w:pPr>
            <w:r>
              <w:rPr>
                <w:rFonts w:ascii="Calibri" w:eastAsia="Times New Roman" w:hAnsi="Calibri" w:cs="Calibri"/>
                <w:color w:val="000000"/>
              </w:rPr>
              <w:t>ΠΕΛΟΠΟΝΝΗΣΟΥ</w:t>
            </w:r>
          </w:p>
        </w:tc>
        <w:tc>
          <w:tcPr>
            <w:tcW w:w="2184" w:type="pct"/>
            <w:shd w:val="clear" w:color="auto" w:fill="EDEDED" w:themeFill="accent3" w:themeFillTint="33"/>
            <w:noWrap/>
          </w:tcPr>
          <w:p w14:paraId="56F7BC93"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30.679.010,23 €</w:t>
            </w:r>
          </w:p>
        </w:tc>
      </w:tr>
      <w:tr w:rsidR="002A2422" w14:paraId="0593482D" w14:textId="77777777" w:rsidTr="002A2422">
        <w:trPr>
          <w:trHeight w:val="330"/>
        </w:trPr>
        <w:tc>
          <w:tcPr>
            <w:cnfStyle w:val="001000000000" w:firstRow="0" w:lastRow="0" w:firstColumn="1" w:lastColumn="0" w:oddVBand="0" w:evenVBand="0" w:oddHBand="0" w:evenHBand="0" w:firstRowFirstColumn="0" w:firstRowLastColumn="0" w:lastRowFirstColumn="0" w:lastRowLastColumn="0"/>
            <w:tcW w:w="2816" w:type="pct"/>
            <w:noWrap/>
          </w:tcPr>
          <w:p w14:paraId="17EC2463" w14:textId="77777777" w:rsidR="002A2422" w:rsidRDefault="003B3AD7">
            <w:pPr>
              <w:rPr>
                <w:rFonts w:ascii="Calibri" w:eastAsia="Times New Roman" w:hAnsi="Calibri" w:cs="Calibri"/>
                <w:color w:val="000000"/>
              </w:rPr>
            </w:pPr>
            <w:r>
              <w:rPr>
                <w:rFonts w:ascii="Calibri" w:eastAsia="Times New Roman" w:hAnsi="Calibri" w:cs="Calibri"/>
                <w:color w:val="000000"/>
              </w:rPr>
              <w:t>ΣΤΕΡΕΑΣ ΕΛΛΑΔΑΣ</w:t>
            </w:r>
          </w:p>
        </w:tc>
        <w:tc>
          <w:tcPr>
            <w:tcW w:w="2184" w:type="pct"/>
            <w:noWrap/>
          </w:tcPr>
          <w:p w14:paraId="593C9E57"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5.520.705,02 €</w:t>
            </w:r>
          </w:p>
        </w:tc>
      </w:tr>
      <w:tr w:rsidR="002A2422" w14:paraId="2C536762" w14:textId="77777777" w:rsidTr="002A2422">
        <w:trPr>
          <w:trHeight w:val="330"/>
        </w:trPr>
        <w:tc>
          <w:tcPr>
            <w:cnfStyle w:val="001000000000" w:firstRow="0" w:lastRow="0" w:firstColumn="1" w:lastColumn="0" w:oddVBand="0" w:evenVBand="0" w:oddHBand="0" w:evenHBand="0" w:firstRowFirstColumn="0" w:firstRowLastColumn="0" w:lastRowFirstColumn="0" w:lastRowLastColumn="0"/>
            <w:tcW w:w="2816" w:type="pct"/>
            <w:shd w:val="clear" w:color="auto" w:fill="EDEDED" w:themeFill="accent3" w:themeFillTint="33"/>
            <w:noWrap/>
          </w:tcPr>
          <w:p w14:paraId="7E448E48" w14:textId="77777777" w:rsidR="002A2422" w:rsidRDefault="003B3AD7">
            <w:pPr>
              <w:rPr>
                <w:rFonts w:ascii="Calibri" w:eastAsia="Times New Roman" w:hAnsi="Calibri" w:cs="Calibri"/>
                <w:color w:val="000000"/>
              </w:rPr>
            </w:pPr>
            <w:r>
              <w:rPr>
                <w:rFonts w:ascii="Calibri" w:eastAsia="Times New Roman" w:hAnsi="Calibri" w:cs="Calibri"/>
                <w:color w:val="000000"/>
              </w:rPr>
              <w:t>Γενικό Άθροισμα</w:t>
            </w:r>
          </w:p>
        </w:tc>
        <w:tc>
          <w:tcPr>
            <w:tcW w:w="2184" w:type="pct"/>
            <w:shd w:val="clear" w:color="auto" w:fill="EDEDED" w:themeFill="accent3" w:themeFillTint="33"/>
            <w:noWrap/>
          </w:tcPr>
          <w:p w14:paraId="2713593E"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340.858.433,31 €</w:t>
            </w:r>
          </w:p>
        </w:tc>
      </w:tr>
    </w:tbl>
    <w:p w14:paraId="16B1D580" w14:textId="77777777" w:rsidR="002A2422" w:rsidRDefault="003B3AD7">
      <w:pPr>
        <w:rPr>
          <w:rFonts w:ascii="Times New Roman" w:eastAsia="Times New Roman" w:hAnsi="Times New Roman" w:cs="Times New Roman"/>
          <w:sz w:val="20"/>
          <w:szCs w:val="20"/>
        </w:rPr>
      </w:pPr>
      <w:r>
        <w:rPr>
          <w:rFonts w:asciiTheme="minorHAnsi" w:hAnsiTheme="minorHAnsi" w:cstheme="minorHAnsi"/>
        </w:rPr>
        <w:t xml:space="preserve">Πίνακας 7: Ενταγμένα έργα τομέα Πολιτισμού ανά Περιφέρεια  </w:t>
      </w:r>
      <w:r>
        <w:rPr>
          <w:rFonts w:ascii="Times New Roman" w:eastAsia="Times New Roman" w:hAnsi="Times New Roman" w:cs="Times New Roman"/>
          <w:b/>
          <w:bCs/>
          <w:sz w:val="20"/>
          <w:szCs w:val="20"/>
        </w:rPr>
        <w:t>(στοιχεία 04.2021)</w:t>
      </w:r>
    </w:p>
    <w:p w14:paraId="3F583A22" w14:textId="77777777" w:rsidR="002A2422" w:rsidRDefault="002A2422">
      <w:pPr>
        <w:tabs>
          <w:tab w:val="left" w:pos="1216"/>
        </w:tabs>
        <w:rPr>
          <w:rFonts w:asciiTheme="minorHAnsi" w:hAnsiTheme="minorHAnsi" w:cstheme="minorHAnsi"/>
        </w:rPr>
      </w:pPr>
    </w:p>
    <w:p w14:paraId="36BB11C1" w14:textId="77777777" w:rsidR="002A2422" w:rsidRDefault="002A2422">
      <w:pPr>
        <w:spacing w:line="240" w:lineRule="auto"/>
        <w:rPr>
          <w:rFonts w:ascii="Times New Roman" w:eastAsia="Times New Roman" w:hAnsi="Times New Roman" w:cs="Times New Roman"/>
          <w:sz w:val="24"/>
          <w:szCs w:val="24"/>
        </w:rPr>
      </w:pPr>
    </w:p>
    <w:p w14:paraId="41A4E611" w14:textId="77777777" w:rsidR="002A2422" w:rsidRDefault="002A2422">
      <w:pPr>
        <w:spacing w:line="240" w:lineRule="auto"/>
        <w:rPr>
          <w:rFonts w:ascii="Times New Roman" w:eastAsia="Times New Roman" w:hAnsi="Times New Roman" w:cs="Times New Roman"/>
          <w:sz w:val="24"/>
          <w:szCs w:val="24"/>
        </w:rPr>
      </w:pPr>
    </w:p>
    <w:p w14:paraId="6E1AE28E" w14:textId="77777777" w:rsidR="002A2422" w:rsidRDefault="002A2422">
      <w:pPr>
        <w:tabs>
          <w:tab w:val="left" w:pos="2175"/>
        </w:tabs>
      </w:pPr>
    </w:p>
    <w:p w14:paraId="18724D43" w14:textId="77777777" w:rsidR="002A2422" w:rsidRDefault="002A2422">
      <w:pPr>
        <w:tabs>
          <w:tab w:val="left" w:pos="2175"/>
        </w:tabs>
      </w:pPr>
    </w:p>
    <w:p w14:paraId="740AB790" w14:textId="77777777" w:rsidR="002A2422" w:rsidRDefault="003B3AD7">
      <w:pPr>
        <w:tabs>
          <w:tab w:val="left" w:pos="1216"/>
        </w:tabs>
      </w:pPr>
      <w:r>
        <w:rPr>
          <w:noProof/>
        </w:rPr>
        <w:lastRenderedPageBreak/>
        <w:drawing>
          <wp:inline distT="0" distB="0" distL="0" distR="0" wp14:anchorId="2619BDB4" wp14:editId="448F5F15">
            <wp:extent cx="5274310" cy="3950970"/>
            <wp:effectExtent l="0" t="0" r="2540" b="11430"/>
            <wp:docPr id="9"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31004E" w14:textId="77777777" w:rsidR="002A2422" w:rsidRDefault="003B3AD7">
      <w:pPr>
        <w:rPr>
          <w:rFonts w:ascii="Times New Roman" w:eastAsia="Times New Roman" w:hAnsi="Times New Roman" w:cs="Times New Roman"/>
          <w:sz w:val="20"/>
          <w:szCs w:val="20"/>
        </w:rPr>
      </w:pPr>
      <w:r>
        <w:rPr>
          <w:rFonts w:asciiTheme="minorHAnsi" w:hAnsiTheme="minorHAnsi" w:cstheme="minorHAnsi"/>
        </w:rPr>
        <w:t xml:space="preserve">Διάγραμμα 6: Ενταγμένα έργα τομέα Πολιτισμού ανά Περιφέρεια </w:t>
      </w:r>
      <w:r>
        <w:rPr>
          <w:rFonts w:ascii="Times New Roman" w:eastAsia="Times New Roman" w:hAnsi="Times New Roman" w:cs="Times New Roman"/>
          <w:b/>
          <w:bCs/>
          <w:sz w:val="20"/>
          <w:szCs w:val="20"/>
        </w:rPr>
        <w:t>(στοιχεία 04.2021)</w:t>
      </w:r>
      <w:r>
        <w:rPr>
          <w:rFonts w:asciiTheme="minorHAnsi" w:hAnsiTheme="minorHAnsi" w:cstheme="minorHAnsi"/>
        </w:rPr>
        <w:t xml:space="preserve"> </w:t>
      </w:r>
    </w:p>
    <w:p w14:paraId="24E586E1" w14:textId="77777777" w:rsidR="002A2422" w:rsidRDefault="002A2422"/>
    <w:p w14:paraId="147437B6" w14:textId="77777777" w:rsidR="002A2422" w:rsidRDefault="002A2422"/>
    <w:p w14:paraId="498A1004" w14:textId="77777777" w:rsidR="002A2422" w:rsidRDefault="002A2422"/>
    <w:tbl>
      <w:tblPr>
        <w:tblStyle w:val="5-31"/>
        <w:tblW w:w="5000" w:type="pct"/>
        <w:tblLook w:val="04A0" w:firstRow="1" w:lastRow="0" w:firstColumn="1" w:lastColumn="0" w:noHBand="0" w:noVBand="1"/>
      </w:tblPr>
      <w:tblGrid>
        <w:gridCol w:w="4146"/>
        <w:gridCol w:w="5497"/>
      </w:tblGrid>
      <w:tr w:rsidR="002A2422" w14:paraId="7D586CC7" w14:textId="77777777" w:rsidTr="002A24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50954D8E" w14:textId="77777777" w:rsidR="002A2422" w:rsidRDefault="003B3AD7">
            <w:pPr>
              <w:rPr>
                <w:rFonts w:ascii="Calibri" w:eastAsia="Times New Roman" w:hAnsi="Calibri" w:cs="Calibri"/>
                <w:color w:val="000000"/>
              </w:rPr>
            </w:pPr>
            <w:r>
              <w:rPr>
                <w:rFonts w:ascii="Calibri" w:eastAsia="Times New Roman" w:hAnsi="Calibri" w:cs="Calibri"/>
                <w:color w:val="000000"/>
              </w:rPr>
              <w:t>ΠΕΡΙΦΕΡΕΙΕΣ | ΧΩΡΙΚΗ ΚΑΤΑΝΟΜΗ</w:t>
            </w:r>
          </w:p>
        </w:tc>
        <w:tc>
          <w:tcPr>
            <w:tcW w:w="2850" w:type="pct"/>
            <w:noWrap/>
          </w:tcPr>
          <w:p w14:paraId="0ACD3434" w14:textId="77777777" w:rsidR="002A2422" w:rsidRDefault="003B3AD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Αριθμός Έργων ανά Περιφέρεια  </w:t>
            </w:r>
          </w:p>
        </w:tc>
      </w:tr>
      <w:tr w:rsidR="002A2422" w14:paraId="1BAD037E"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44520FD8" w14:textId="77777777" w:rsidR="002A2422" w:rsidRDefault="003B3AD7">
            <w:pPr>
              <w:rPr>
                <w:rFonts w:ascii="Calibri" w:eastAsia="Times New Roman" w:hAnsi="Calibri" w:cs="Calibri"/>
                <w:color w:val="000000"/>
              </w:rPr>
            </w:pPr>
            <w:r>
              <w:rPr>
                <w:rFonts w:ascii="Calibri" w:eastAsia="Times New Roman" w:hAnsi="Calibri" w:cs="Calibri"/>
                <w:color w:val="000000"/>
              </w:rPr>
              <w:t>ΑΝΑΤΟΛΙΚΗΣ ΜΑΚΕΔΟΝΙΑΣ ΘΡΑΚΗΣ</w:t>
            </w:r>
          </w:p>
        </w:tc>
        <w:tc>
          <w:tcPr>
            <w:tcW w:w="2850" w:type="pct"/>
            <w:shd w:val="clear" w:color="auto" w:fill="DBDBDB" w:themeFill="accent3" w:themeFillTint="66"/>
            <w:noWrap/>
          </w:tcPr>
          <w:p w14:paraId="1B36AD8F"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20</w:t>
            </w:r>
          </w:p>
        </w:tc>
      </w:tr>
      <w:tr w:rsidR="002A2422" w14:paraId="171C3044"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576BC99F" w14:textId="77777777" w:rsidR="002A2422" w:rsidRDefault="003B3AD7">
            <w:pPr>
              <w:rPr>
                <w:rFonts w:ascii="Calibri" w:eastAsia="Times New Roman" w:hAnsi="Calibri" w:cs="Calibri"/>
                <w:color w:val="000000"/>
              </w:rPr>
            </w:pPr>
            <w:r>
              <w:rPr>
                <w:rFonts w:ascii="Calibri" w:eastAsia="Times New Roman" w:hAnsi="Calibri" w:cs="Calibri"/>
                <w:color w:val="000000"/>
              </w:rPr>
              <w:t>ΑΤΤΙΚΗΣ</w:t>
            </w:r>
          </w:p>
        </w:tc>
        <w:tc>
          <w:tcPr>
            <w:tcW w:w="2850" w:type="pct"/>
            <w:noWrap/>
          </w:tcPr>
          <w:p w14:paraId="5D22B23A"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42</w:t>
            </w:r>
          </w:p>
        </w:tc>
      </w:tr>
      <w:tr w:rsidR="002A2422" w14:paraId="0E9FDF95"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2F746856" w14:textId="77777777" w:rsidR="002A2422" w:rsidRDefault="003B3AD7">
            <w:pPr>
              <w:rPr>
                <w:rFonts w:ascii="Calibri" w:eastAsia="Times New Roman" w:hAnsi="Calibri" w:cs="Calibri"/>
                <w:color w:val="000000"/>
              </w:rPr>
            </w:pPr>
            <w:r>
              <w:rPr>
                <w:rFonts w:ascii="Calibri" w:eastAsia="Times New Roman" w:hAnsi="Calibri" w:cs="Calibri"/>
                <w:color w:val="000000"/>
              </w:rPr>
              <w:t>ΒΟΡΕΙΟΥ ΑΙΓΑΙΟΥ</w:t>
            </w:r>
          </w:p>
        </w:tc>
        <w:tc>
          <w:tcPr>
            <w:tcW w:w="2850" w:type="pct"/>
            <w:shd w:val="clear" w:color="auto" w:fill="DBDBDB" w:themeFill="accent3" w:themeFillTint="66"/>
            <w:noWrap/>
          </w:tcPr>
          <w:p w14:paraId="1FD37799"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20</w:t>
            </w:r>
          </w:p>
        </w:tc>
      </w:tr>
      <w:tr w:rsidR="002A2422" w14:paraId="3297F96D"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2651170B" w14:textId="77777777" w:rsidR="002A2422" w:rsidRDefault="003B3AD7">
            <w:pPr>
              <w:rPr>
                <w:rFonts w:ascii="Calibri" w:eastAsia="Times New Roman" w:hAnsi="Calibri" w:cs="Calibri"/>
                <w:color w:val="000000"/>
              </w:rPr>
            </w:pPr>
            <w:r>
              <w:rPr>
                <w:rFonts w:ascii="Calibri" w:eastAsia="Times New Roman" w:hAnsi="Calibri" w:cs="Calibri"/>
                <w:color w:val="000000"/>
              </w:rPr>
              <w:t>ΔΥΤΙΚΗΣ ΕΛΛΑΔΑΣ</w:t>
            </w:r>
          </w:p>
        </w:tc>
        <w:tc>
          <w:tcPr>
            <w:tcW w:w="2850" w:type="pct"/>
            <w:noWrap/>
          </w:tcPr>
          <w:p w14:paraId="0FEDD884"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13</w:t>
            </w:r>
          </w:p>
        </w:tc>
      </w:tr>
      <w:tr w:rsidR="002A2422" w14:paraId="5CD5FCF8"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0B488A4A" w14:textId="77777777" w:rsidR="002A2422" w:rsidRDefault="003B3AD7">
            <w:pPr>
              <w:rPr>
                <w:rFonts w:ascii="Calibri" w:eastAsia="Times New Roman" w:hAnsi="Calibri" w:cs="Calibri"/>
                <w:color w:val="000000"/>
              </w:rPr>
            </w:pPr>
            <w:r>
              <w:rPr>
                <w:rFonts w:ascii="Calibri" w:eastAsia="Times New Roman" w:hAnsi="Calibri" w:cs="Calibri"/>
                <w:color w:val="000000"/>
              </w:rPr>
              <w:t>ΔΥΤΙΚΗΣ ΜΑΚΕΔΟΝΙΑΣ</w:t>
            </w:r>
          </w:p>
        </w:tc>
        <w:tc>
          <w:tcPr>
            <w:tcW w:w="2850" w:type="pct"/>
            <w:shd w:val="clear" w:color="auto" w:fill="DBDBDB" w:themeFill="accent3" w:themeFillTint="66"/>
            <w:noWrap/>
          </w:tcPr>
          <w:p w14:paraId="78EDFB7E"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w:t>
            </w:r>
          </w:p>
        </w:tc>
      </w:tr>
      <w:tr w:rsidR="002A2422" w14:paraId="29153A59"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18569B06" w14:textId="77777777" w:rsidR="002A2422" w:rsidRDefault="003B3AD7">
            <w:pPr>
              <w:rPr>
                <w:rFonts w:ascii="Calibri" w:eastAsia="Times New Roman" w:hAnsi="Calibri" w:cs="Calibri"/>
                <w:color w:val="000000"/>
              </w:rPr>
            </w:pPr>
            <w:r>
              <w:rPr>
                <w:rFonts w:ascii="Calibri" w:eastAsia="Times New Roman" w:hAnsi="Calibri" w:cs="Calibri"/>
                <w:color w:val="000000"/>
              </w:rPr>
              <w:t>ΗΠΕΙΡΟΥ</w:t>
            </w:r>
          </w:p>
        </w:tc>
        <w:tc>
          <w:tcPr>
            <w:tcW w:w="2850" w:type="pct"/>
            <w:noWrap/>
          </w:tcPr>
          <w:p w14:paraId="4D86025B"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13</w:t>
            </w:r>
          </w:p>
        </w:tc>
      </w:tr>
      <w:tr w:rsidR="002A2422" w14:paraId="55C3676B"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2E6C2147" w14:textId="77777777" w:rsidR="002A2422" w:rsidRDefault="003B3AD7">
            <w:pPr>
              <w:rPr>
                <w:rFonts w:ascii="Calibri" w:eastAsia="Times New Roman" w:hAnsi="Calibri" w:cs="Calibri"/>
                <w:color w:val="000000"/>
              </w:rPr>
            </w:pPr>
            <w:r>
              <w:rPr>
                <w:rFonts w:ascii="Calibri" w:eastAsia="Times New Roman" w:hAnsi="Calibri" w:cs="Calibri"/>
                <w:color w:val="000000"/>
              </w:rPr>
              <w:t>ΘΕΣΣΑΛΙΑΣ</w:t>
            </w:r>
          </w:p>
        </w:tc>
        <w:tc>
          <w:tcPr>
            <w:tcW w:w="2850" w:type="pct"/>
            <w:shd w:val="clear" w:color="auto" w:fill="DBDBDB" w:themeFill="accent3" w:themeFillTint="66"/>
            <w:noWrap/>
          </w:tcPr>
          <w:p w14:paraId="05457C6F"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14</w:t>
            </w:r>
          </w:p>
        </w:tc>
      </w:tr>
      <w:tr w:rsidR="002A2422" w14:paraId="56B8CBCF"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44635D72" w14:textId="77777777" w:rsidR="002A2422" w:rsidRDefault="003B3AD7">
            <w:pPr>
              <w:rPr>
                <w:rFonts w:ascii="Calibri" w:eastAsia="Times New Roman" w:hAnsi="Calibri" w:cs="Calibri"/>
                <w:color w:val="000000"/>
              </w:rPr>
            </w:pPr>
            <w:r>
              <w:rPr>
                <w:rFonts w:ascii="Calibri" w:eastAsia="Times New Roman" w:hAnsi="Calibri" w:cs="Calibri"/>
                <w:color w:val="000000"/>
              </w:rPr>
              <w:t>ΙΟΝΙΩΝ ΝΗΣΩΝ</w:t>
            </w:r>
          </w:p>
        </w:tc>
        <w:tc>
          <w:tcPr>
            <w:tcW w:w="2850" w:type="pct"/>
            <w:noWrap/>
          </w:tcPr>
          <w:p w14:paraId="3304B5A2"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31</w:t>
            </w:r>
          </w:p>
        </w:tc>
      </w:tr>
      <w:tr w:rsidR="002A2422" w14:paraId="05F370DA"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0A6FBABD" w14:textId="77777777" w:rsidR="002A2422" w:rsidRDefault="003B3AD7">
            <w:pPr>
              <w:rPr>
                <w:rFonts w:ascii="Calibri" w:eastAsia="Times New Roman" w:hAnsi="Calibri" w:cs="Calibri"/>
                <w:color w:val="000000"/>
              </w:rPr>
            </w:pPr>
            <w:r>
              <w:rPr>
                <w:rFonts w:ascii="Calibri" w:eastAsia="Times New Roman" w:hAnsi="Calibri" w:cs="Calibri"/>
                <w:color w:val="000000"/>
              </w:rPr>
              <w:t>ΚΕΝΤΡΙΚΗΣ ΜΑΚΕΔΟΝΙΑΣ</w:t>
            </w:r>
          </w:p>
        </w:tc>
        <w:tc>
          <w:tcPr>
            <w:tcW w:w="2850" w:type="pct"/>
            <w:shd w:val="clear" w:color="auto" w:fill="DBDBDB" w:themeFill="accent3" w:themeFillTint="66"/>
            <w:noWrap/>
          </w:tcPr>
          <w:p w14:paraId="7B5BA5C5"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49</w:t>
            </w:r>
          </w:p>
        </w:tc>
      </w:tr>
      <w:tr w:rsidR="002A2422" w14:paraId="448AB56E"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673D1F74" w14:textId="77777777" w:rsidR="002A2422" w:rsidRDefault="003B3AD7">
            <w:pPr>
              <w:rPr>
                <w:rFonts w:ascii="Calibri" w:eastAsia="Times New Roman" w:hAnsi="Calibri" w:cs="Calibri"/>
                <w:color w:val="000000"/>
              </w:rPr>
            </w:pPr>
            <w:r>
              <w:rPr>
                <w:rFonts w:ascii="Calibri" w:eastAsia="Times New Roman" w:hAnsi="Calibri" w:cs="Calibri"/>
                <w:color w:val="000000"/>
              </w:rPr>
              <w:t>ΚΡΗΤΗΣ</w:t>
            </w:r>
          </w:p>
        </w:tc>
        <w:tc>
          <w:tcPr>
            <w:tcW w:w="2850" w:type="pct"/>
            <w:noWrap/>
          </w:tcPr>
          <w:p w14:paraId="2EEC9130"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34</w:t>
            </w:r>
          </w:p>
        </w:tc>
      </w:tr>
      <w:tr w:rsidR="002A2422" w14:paraId="460B6548"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185F1262" w14:textId="77777777" w:rsidR="002A2422" w:rsidRDefault="003B3AD7">
            <w:pPr>
              <w:rPr>
                <w:rFonts w:ascii="Calibri" w:eastAsia="Times New Roman" w:hAnsi="Calibri" w:cs="Calibri"/>
                <w:color w:val="000000"/>
              </w:rPr>
            </w:pPr>
            <w:r>
              <w:rPr>
                <w:rFonts w:ascii="Calibri" w:eastAsia="Times New Roman" w:hAnsi="Calibri" w:cs="Calibri"/>
                <w:color w:val="000000"/>
              </w:rPr>
              <w:t>ΝΟΤΙΟΥ ΑΙΓΑΙΟΥ</w:t>
            </w:r>
          </w:p>
        </w:tc>
        <w:tc>
          <w:tcPr>
            <w:tcW w:w="2850" w:type="pct"/>
            <w:shd w:val="clear" w:color="auto" w:fill="DBDBDB" w:themeFill="accent3" w:themeFillTint="66"/>
            <w:noWrap/>
          </w:tcPr>
          <w:p w14:paraId="1250EFC7"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15</w:t>
            </w:r>
          </w:p>
        </w:tc>
      </w:tr>
      <w:tr w:rsidR="002A2422" w14:paraId="1EE73150"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3E3959A4" w14:textId="77777777" w:rsidR="002A2422" w:rsidRDefault="003B3AD7">
            <w:pPr>
              <w:rPr>
                <w:rFonts w:ascii="Calibri" w:eastAsia="Times New Roman" w:hAnsi="Calibri" w:cs="Calibri"/>
                <w:color w:val="000000"/>
              </w:rPr>
            </w:pPr>
            <w:r>
              <w:rPr>
                <w:rFonts w:ascii="Calibri" w:eastAsia="Times New Roman" w:hAnsi="Calibri" w:cs="Calibri"/>
                <w:color w:val="000000"/>
              </w:rPr>
              <w:t>ΟΡΙΖΟΝΤΙΟ</w:t>
            </w:r>
          </w:p>
        </w:tc>
        <w:tc>
          <w:tcPr>
            <w:tcW w:w="2850" w:type="pct"/>
            <w:noWrap/>
          </w:tcPr>
          <w:p w14:paraId="3930C44B"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13</w:t>
            </w:r>
          </w:p>
        </w:tc>
      </w:tr>
      <w:tr w:rsidR="002A2422" w14:paraId="1FF11D48"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265B8927" w14:textId="77777777" w:rsidR="002A2422" w:rsidRDefault="003B3AD7">
            <w:pPr>
              <w:rPr>
                <w:rFonts w:ascii="Calibri" w:eastAsia="Times New Roman" w:hAnsi="Calibri" w:cs="Calibri"/>
                <w:color w:val="000000"/>
              </w:rPr>
            </w:pPr>
            <w:r>
              <w:rPr>
                <w:rFonts w:ascii="Calibri" w:eastAsia="Times New Roman" w:hAnsi="Calibri" w:cs="Calibri"/>
                <w:color w:val="000000"/>
              </w:rPr>
              <w:t>ΠΕΛΟΠΟΝΝΗΣΟΥ</w:t>
            </w:r>
          </w:p>
        </w:tc>
        <w:tc>
          <w:tcPr>
            <w:tcW w:w="2850" w:type="pct"/>
            <w:shd w:val="clear" w:color="auto" w:fill="DBDBDB" w:themeFill="accent3" w:themeFillTint="66"/>
            <w:noWrap/>
          </w:tcPr>
          <w:p w14:paraId="20A974C3"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35</w:t>
            </w:r>
          </w:p>
        </w:tc>
      </w:tr>
      <w:tr w:rsidR="002A2422" w14:paraId="43F70869"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7FFD0EB8" w14:textId="77777777" w:rsidR="002A2422" w:rsidRDefault="003B3AD7">
            <w:pPr>
              <w:rPr>
                <w:rFonts w:ascii="Calibri" w:eastAsia="Times New Roman" w:hAnsi="Calibri" w:cs="Calibri"/>
                <w:color w:val="000000"/>
              </w:rPr>
            </w:pPr>
            <w:r>
              <w:rPr>
                <w:rFonts w:ascii="Calibri" w:eastAsia="Times New Roman" w:hAnsi="Calibri" w:cs="Calibri"/>
                <w:color w:val="000000"/>
              </w:rPr>
              <w:lastRenderedPageBreak/>
              <w:t>ΣΤΕΡΕΑΣ ΕΛΛΑΔΑΣ</w:t>
            </w:r>
          </w:p>
        </w:tc>
        <w:tc>
          <w:tcPr>
            <w:tcW w:w="2850" w:type="pct"/>
            <w:noWrap/>
          </w:tcPr>
          <w:p w14:paraId="2A2AB88F"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w:t>
            </w:r>
          </w:p>
        </w:tc>
      </w:tr>
      <w:tr w:rsidR="002A2422" w14:paraId="6152EB5B"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770A8267" w14:textId="77777777" w:rsidR="002A2422" w:rsidRDefault="003B3AD7">
            <w:pPr>
              <w:rPr>
                <w:rFonts w:ascii="Calibri" w:eastAsia="Times New Roman" w:hAnsi="Calibri" w:cs="Calibri"/>
                <w:color w:val="000000"/>
              </w:rPr>
            </w:pPr>
            <w:r>
              <w:rPr>
                <w:rFonts w:ascii="Calibri" w:eastAsia="Times New Roman" w:hAnsi="Calibri" w:cs="Calibri"/>
                <w:color w:val="000000"/>
              </w:rPr>
              <w:t>Γενικό Άθροισμα</w:t>
            </w:r>
          </w:p>
        </w:tc>
        <w:tc>
          <w:tcPr>
            <w:tcW w:w="2850" w:type="pct"/>
            <w:shd w:val="clear" w:color="auto" w:fill="DBDBDB" w:themeFill="accent3" w:themeFillTint="66"/>
            <w:noWrap/>
          </w:tcPr>
          <w:p w14:paraId="69399696"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318</w:t>
            </w:r>
          </w:p>
        </w:tc>
      </w:tr>
    </w:tbl>
    <w:p w14:paraId="451BED5B" w14:textId="77777777" w:rsidR="002A2422" w:rsidRDefault="003B3AD7">
      <w:pPr>
        <w:rPr>
          <w:rFonts w:ascii="Times New Roman" w:eastAsia="Times New Roman" w:hAnsi="Times New Roman" w:cs="Times New Roman"/>
          <w:sz w:val="20"/>
          <w:szCs w:val="20"/>
        </w:rPr>
      </w:pPr>
      <w:r>
        <w:rPr>
          <w:rFonts w:asciiTheme="minorHAnsi" w:hAnsiTheme="minorHAnsi" w:cstheme="minorHAnsi"/>
        </w:rPr>
        <w:t xml:space="preserve">Πίνακας 8: Αριθμός ενταγμένων έργων τομέα Πολιτισμού ανά Περιφέρεια  </w:t>
      </w:r>
      <w:r>
        <w:rPr>
          <w:rFonts w:ascii="Times New Roman" w:eastAsia="Times New Roman" w:hAnsi="Times New Roman" w:cs="Times New Roman"/>
          <w:b/>
          <w:bCs/>
          <w:sz w:val="20"/>
          <w:szCs w:val="20"/>
        </w:rPr>
        <w:t>(στοιχεία 04.2021)</w:t>
      </w:r>
    </w:p>
    <w:p w14:paraId="5B6D9A18" w14:textId="77777777" w:rsidR="002A2422" w:rsidRDefault="002A2422">
      <w:pPr>
        <w:tabs>
          <w:tab w:val="left" w:pos="1216"/>
        </w:tabs>
        <w:rPr>
          <w:rFonts w:asciiTheme="minorHAnsi" w:hAnsiTheme="minorHAnsi" w:cstheme="minorHAnsi"/>
        </w:rPr>
      </w:pPr>
    </w:p>
    <w:p w14:paraId="16BD62FD" w14:textId="77777777" w:rsidR="002A2422" w:rsidRDefault="002A2422"/>
    <w:p w14:paraId="7A8B3655" w14:textId="77777777" w:rsidR="002A2422" w:rsidRDefault="003B3AD7">
      <w:r>
        <w:rPr>
          <w:noProof/>
        </w:rPr>
        <w:drawing>
          <wp:inline distT="0" distB="0" distL="0" distR="0" wp14:anchorId="4B3F876A" wp14:editId="5F3ABEBA">
            <wp:extent cx="5274310" cy="3966845"/>
            <wp:effectExtent l="0" t="0" r="2540" b="14605"/>
            <wp:docPr id="10"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B06472" w14:textId="77777777" w:rsidR="002A2422" w:rsidRDefault="003B3AD7">
      <w:pPr>
        <w:rPr>
          <w:rFonts w:ascii="Times New Roman" w:eastAsia="Times New Roman" w:hAnsi="Times New Roman" w:cs="Times New Roman"/>
          <w:sz w:val="20"/>
          <w:szCs w:val="20"/>
        </w:rPr>
      </w:pPr>
      <w:r>
        <w:rPr>
          <w:rFonts w:asciiTheme="minorHAnsi" w:hAnsiTheme="minorHAnsi" w:cstheme="minorHAnsi"/>
        </w:rPr>
        <w:t xml:space="preserve">Διάγραμμα 7: Αριθμός ενταγμένων έργων τομέα Πολιτισμού ανά Περιφέρεια </w:t>
      </w:r>
      <w:r>
        <w:rPr>
          <w:rFonts w:ascii="Times New Roman" w:eastAsia="Times New Roman" w:hAnsi="Times New Roman" w:cs="Times New Roman"/>
          <w:b/>
          <w:bCs/>
          <w:sz w:val="20"/>
          <w:szCs w:val="20"/>
        </w:rPr>
        <w:t>(στοιχεία 04.2021)</w:t>
      </w:r>
    </w:p>
    <w:p w14:paraId="0F0A5623" w14:textId="77777777" w:rsidR="002A2422" w:rsidRDefault="003B3AD7">
      <w:pPr>
        <w:tabs>
          <w:tab w:val="left" w:pos="1216"/>
        </w:tabs>
        <w:rPr>
          <w:rFonts w:asciiTheme="minorHAnsi" w:hAnsiTheme="minorHAnsi" w:cstheme="minorHAnsi"/>
        </w:rPr>
      </w:pPr>
      <w:r>
        <w:rPr>
          <w:rFonts w:asciiTheme="minorHAnsi" w:hAnsiTheme="minorHAnsi" w:cstheme="minorHAnsi"/>
        </w:rPr>
        <w:t xml:space="preserve">  </w:t>
      </w:r>
    </w:p>
    <w:p w14:paraId="1A9745B3" w14:textId="77777777" w:rsidR="002A2422" w:rsidRDefault="002A2422">
      <w:pPr>
        <w:tabs>
          <w:tab w:val="left" w:pos="2175"/>
        </w:tabs>
      </w:pPr>
    </w:p>
    <w:p w14:paraId="3859945B" w14:textId="77777777" w:rsidR="002A2422" w:rsidRDefault="003B3AD7">
      <w:pPr>
        <w:rPr>
          <w:rFonts w:asciiTheme="minorHAnsi" w:hAnsiTheme="minorHAnsi" w:cstheme="minorHAnsi"/>
          <w:b/>
          <w:bCs/>
          <w:sz w:val="24"/>
          <w:szCs w:val="24"/>
        </w:rPr>
      </w:pPr>
      <w:r>
        <w:rPr>
          <w:rFonts w:asciiTheme="minorHAnsi" w:hAnsiTheme="minorHAnsi" w:cstheme="minorHAnsi"/>
          <w:b/>
          <w:bCs/>
          <w:sz w:val="24"/>
          <w:szCs w:val="24"/>
        </w:rPr>
        <w:t xml:space="preserve">Πληρωμές Έργων </w:t>
      </w:r>
    </w:p>
    <w:p w14:paraId="5F9D46F7" w14:textId="77777777" w:rsidR="002A2422" w:rsidRDefault="003B3AD7">
      <w:pPr>
        <w:tabs>
          <w:tab w:val="left" w:pos="1365"/>
        </w:tabs>
      </w:pPr>
      <w:r>
        <w:tab/>
      </w:r>
    </w:p>
    <w:tbl>
      <w:tblPr>
        <w:tblStyle w:val="5-31"/>
        <w:tblW w:w="5000" w:type="pct"/>
        <w:tblLook w:val="04A0" w:firstRow="1" w:lastRow="0" w:firstColumn="1" w:lastColumn="0" w:noHBand="0" w:noVBand="1"/>
      </w:tblPr>
      <w:tblGrid>
        <w:gridCol w:w="4146"/>
        <w:gridCol w:w="5497"/>
      </w:tblGrid>
      <w:tr w:rsidR="002A2422" w14:paraId="5FAA9084" w14:textId="77777777" w:rsidTr="002A24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2FB85EC1" w14:textId="77777777" w:rsidR="002A2422" w:rsidRDefault="003B3AD7">
            <w:pPr>
              <w:rPr>
                <w:rFonts w:ascii="Calibri" w:eastAsia="Times New Roman" w:hAnsi="Calibri" w:cs="Calibri"/>
                <w:color w:val="000000"/>
              </w:rPr>
            </w:pPr>
            <w:r>
              <w:rPr>
                <w:rFonts w:ascii="Calibri" w:eastAsia="Times New Roman" w:hAnsi="Calibri" w:cs="Calibri"/>
                <w:color w:val="000000"/>
              </w:rPr>
              <w:t>ΠΕΡΙΦΕΡΕΙΕΣ | ΧΩΡΙΚΗ ΚΑΤΑΝΟΜΗ</w:t>
            </w:r>
          </w:p>
        </w:tc>
        <w:tc>
          <w:tcPr>
            <w:tcW w:w="2850" w:type="pct"/>
            <w:noWrap/>
          </w:tcPr>
          <w:p w14:paraId="4F17D09A" w14:textId="77777777" w:rsidR="002A2422" w:rsidRDefault="003B3AD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ΑΡΙΘΜΟΣ ΠΙΣΤΟΠΟΙΗΜΕΩΝ ΠΛΗΡΩΜΩΝ</w:t>
            </w:r>
          </w:p>
        </w:tc>
      </w:tr>
      <w:tr w:rsidR="002A2422" w14:paraId="37F80B38"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2D76F95D" w14:textId="77777777" w:rsidR="002A2422" w:rsidRDefault="003B3AD7">
            <w:pPr>
              <w:rPr>
                <w:rFonts w:ascii="Calibri" w:eastAsia="Times New Roman" w:hAnsi="Calibri" w:cs="Calibri"/>
                <w:color w:val="000000"/>
              </w:rPr>
            </w:pPr>
            <w:r>
              <w:rPr>
                <w:rFonts w:ascii="Calibri" w:eastAsia="Times New Roman" w:hAnsi="Calibri" w:cs="Calibri"/>
                <w:color w:val="000000"/>
              </w:rPr>
              <w:t>ΑΝΑΤΟΛΙΚΗΣ ΜΑΚΕΔΟΝΙΑΣ ΘΡΑΚΗΣ</w:t>
            </w:r>
          </w:p>
        </w:tc>
        <w:tc>
          <w:tcPr>
            <w:tcW w:w="2850" w:type="pct"/>
            <w:shd w:val="clear" w:color="auto" w:fill="DBDBDB" w:themeFill="accent3" w:themeFillTint="66"/>
            <w:noWrap/>
          </w:tcPr>
          <w:p w14:paraId="48491D5B"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16</w:t>
            </w:r>
          </w:p>
        </w:tc>
      </w:tr>
      <w:tr w:rsidR="002A2422" w14:paraId="415D477D"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41D3310B" w14:textId="77777777" w:rsidR="002A2422" w:rsidRDefault="003B3AD7">
            <w:pPr>
              <w:rPr>
                <w:rFonts w:ascii="Calibri" w:eastAsia="Times New Roman" w:hAnsi="Calibri" w:cs="Calibri"/>
                <w:color w:val="000000"/>
              </w:rPr>
            </w:pPr>
            <w:r>
              <w:rPr>
                <w:rFonts w:ascii="Calibri" w:eastAsia="Times New Roman" w:hAnsi="Calibri" w:cs="Calibri"/>
                <w:color w:val="000000"/>
              </w:rPr>
              <w:t>ΑΤΤΙΚΗΣ</w:t>
            </w:r>
          </w:p>
        </w:tc>
        <w:tc>
          <w:tcPr>
            <w:tcW w:w="2850" w:type="pct"/>
            <w:noWrap/>
          </w:tcPr>
          <w:p w14:paraId="5E0D5AB2"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35</w:t>
            </w:r>
          </w:p>
        </w:tc>
      </w:tr>
      <w:tr w:rsidR="002A2422" w14:paraId="2315C6AD"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328C64AC" w14:textId="77777777" w:rsidR="002A2422" w:rsidRDefault="003B3AD7">
            <w:pPr>
              <w:rPr>
                <w:rFonts w:ascii="Calibri" w:eastAsia="Times New Roman" w:hAnsi="Calibri" w:cs="Calibri"/>
                <w:color w:val="000000"/>
              </w:rPr>
            </w:pPr>
            <w:r>
              <w:rPr>
                <w:rFonts w:ascii="Calibri" w:eastAsia="Times New Roman" w:hAnsi="Calibri" w:cs="Calibri"/>
                <w:color w:val="000000"/>
              </w:rPr>
              <w:t>ΒΟΡΕΙΟΥ ΑΙΓΑΙΟΥ</w:t>
            </w:r>
          </w:p>
        </w:tc>
        <w:tc>
          <w:tcPr>
            <w:tcW w:w="2850" w:type="pct"/>
            <w:shd w:val="clear" w:color="auto" w:fill="DBDBDB" w:themeFill="accent3" w:themeFillTint="66"/>
            <w:noWrap/>
          </w:tcPr>
          <w:p w14:paraId="4EFEE14B"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20</w:t>
            </w:r>
          </w:p>
        </w:tc>
      </w:tr>
      <w:tr w:rsidR="002A2422" w14:paraId="1B117BBD"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157398D1" w14:textId="77777777" w:rsidR="002A2422" w:rsidRDefault="003B3AD7">
            <w:pPr>
              <w:rPr>
                <w:rFonts w:ascii="Calibri" w:eastAsia="Times New Roman" w:hAnsi="Calibri" w:cs="Calibri"/>
                <w:color w:val="000000"/>
              </w:rPr>
            </w:pPr>
            <w:r>
              <w:rPr>
                <w:rFonts w:ascii="Calibri" w:eastAsia="Times New Roman" w:hAnsi="Calibri" w:cs="Calibri"/>
                <w:color w:val="000000"/>
              </w:rPr>
              <w:t>ΔΥΤΙΚΗΣ ΕΛΛΑΔΑΣ</w:t>
            </w:r>
          </w:p>
        </w:tc>
        <w:tc>
          <w:tcPr>
            <w:tcW w:w="2850" w:type="pct"/>
            <w:noWrap/>
          </w:tcPr>
          <w:p w14:paraId="0EBA45B9"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w:t>
            </w:r>
          </w:p>
        </w:tc>
      </w:tr>
      <w:tr w:rsidR="002A2422" w14:paraId="7D3242BE"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08C4B79D" w14:textId="77777777" w:rsidR="002A2422" w:rsidRDefault="003B3AD7">
            <w:pPr>
              <w:rPr>
                <w:rFonts w:ascii="Calibri" w:eastAsia="Times New Roman" w:hAnsi="Calibri" w:cs="Calibri"/>
                <w:color w:val="000000"/>
              </w:rPr>
            </w:pPr>
            <w:r>
              <w:rPr>
                <w:rFonts w:ascii="Calibri" w:eastAsia="Times New Roman" w:hAnsi="Calibri" w:cs="Calibri"/>
                <w:color w:val="000000"/>
              </w:rPr>
              <w:t>ΔΥΤΙΚΗΣ ΜΑΚΕΔΟΝΙΑΣ</w:t>
            </w:r>
          </w:p>
        </w:tc>
        <w:tc>
          <w:tcPr>
            <w:tcW w:w="2850" w:type="pct"/>
            <w:shd w:val="clear" w:color="auto" w:fill="DBDBDB" w:themeFill="accent3" w:themeFillTint="66"/>
            <w:noWrap/>
          </w:tcPr>
          <w:p w14:paraId="7DC4AD1E"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w:t>
            </w:r>
          </w:p>
        </w:tc>
      </w:tr>
      <w:tr w:rsidR="002A2422" w14:paraId="2305ADF9"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0C377421" w14:textId="77777777" w:rsidR="002A2422" w:rsidRDefault="003B3AD7">
            <w:pPr>
              <w:rPr>
                <w:rFonts w:ascii="Calibri" w:eastAsia="Times New Roman" w:hAnsi="Calibri" w:cs="Calibri"/>
                <w:color w:val="000000"/>
              </w:rPr>
            </w:pPr>
            <w:r>
              <w:rPr>
                <w:rFonts w:ascii="Calibri" w:eastAsia="Times New Roman" w:hAnsi="Calibri" w:cs="Calibri"/>
                <w:color w:val="000000"/>
              </w:rPr>
              <w:t>ΗΠΕΙΡΟΥ</w:t>
            </w:r>
          </w:p>
        </w:tc>
        <w:tc>
          <w:tcPr>
            <w:tcW w:w="2850" w:type="pct"/>
            <w:noWrap/>
          </w:tcPr>
          <w:p w14:paraId="466EC844"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w:t>
            </w:r>
          </w:p>
        </w:tc>
      </w:tr>
      <w:tr w:rsidR="002A2422" w14:paraId="5C2833F2"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2BEFF80F" w14:textId="77777777" w:rsidR="002A2422" w:rsidRDefault="003B3AD7">
            <w:pPr>
              <w:rPr>
                <w:rFonts w:ascii="Calibri" w:eastAsia="Times New Roman" w:hAnsi="Calibri" w:cs="Calibri"/>
                <w:color w:val="000000"/>
              </w:rPr>
            </w:pPr>
            <w:r>
              <w:rPr>
                <w:rFonts w:ascii="Calibri" w:eastAsia="Times New Roman" w:hAnsi="Calibri" w:cs="Calibri"/>
                <w:color w:val="000000"/>
              </w:rPr>
              <w:t>ΘΕΣΣΑΛΙΑΣ</w:t>
            </w:r>
          </w:p>
        </w:tc>
        <w:tc>
          <w:tcPr>
            <w:tcW w:w="2850" w:type="pct"/>
            <w:shd w:val="clear" w:color="auto" w:fill="DBDBDB" w:themeFill="accent3" w:themeFillTint="66"/>
            <w:noWrap/>
          </w:tcPr>
          <w:p w14:paraId="300C1FAE"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w:t>
            </w:r>
          </w:p>
        </w:tc>
      </w:tr>
      <w:tr w:rsidR="002A2422" w14:paraId="6AB79E65"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0D5DADAC" w14:textId="77777777" w:rsidR="002A2422" w:rsidRDefault="003B3AD7">
            <w:pPr>
              <w:rPr>
                <w:rFonts w:ascii="Calibri" w:eastAsia="Times New Roman" w:hAnsi="Calibri" w:cs="Calibri"/>
                <w:color w:val="000000"/>
              </w:rPr>
            </w:pPr>
            <w:r>
              <w:rPr>
                <w:rFonts w:ascii="Calibri" w:eastAsia="Times New Roman" w:hAnsi="Calibri" w:cs="Calibri"/>
                <w:color w:val="000000"/>
              </w:rPr>
              <w:lastRenderedPageBreak/>
              <w:t>ΙΟΝΙΩΝ ΝΗΣΩΝ</w:t>
            </w:r>
          </w:p>
        </w:tc>
        <w:tc>
          <w:tcPr>
            <w:tcW w:w="2850" w:type="pct"/>
            <w:noWrap/>
          </w:tcPr>
          <w:p w14:paraId="5DDC6265"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w:t>
            </w:r>
          </w:p>
        </w:tc>
      </w:tr>
      <w:tr w:rsidR="002A2422" w14:paraId="25C2518C"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21448380" w14:textId="77777777" w:rsidR="002A2422" w:rsidRDefault="003B3AD7">
            <w:pPr>
              <w:rPr>
                <w:rFonts w:ascii="Calibri" w:eastAsia="Times New Roman" w:hAnsi="Calibri" w:cs="Calibri"/>
                <w:color w:val="000000"/>
              </w:rPr>
            </w:pPr>
            <w:r>
              <w:rPr>
                <w:rFonts w:ascii="Calibri" w:eastAsia="Times New Roman" w:hAnsi="Calibri" w:cs="Calibri"/>
                <w:color w:val="000000"/>
              </w:rPr>
              <w:t>ΚΕΝΤΡΙΚΗΣ ΜΑΚΕΔΟΝΙΑΣ</w:t>
            </w:r>
          </w:p>
        </w:tc>
        <w:tc>
          <w:tcPr>
            <w:tcW w:w="2850" w:type="pct"/>
            <w:shd w:val="clear" w:color="auto" w:fill="DBDBDB" w:themeFill="accent3" w:themeFillTint="66"/>
            <w:noWrap/>
          </w:tcPr>
          <w:p w14:paraId="5C75942C"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32</w:t>
            </w:r>
          </w:p>
        </w:tc>
      </w:tr>
      <w:tr w:rsidR="002A2422" w14:paraId="523A0BBE"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2ABF417A" w14:textId="77777777" w:rsidR="002A2422" w:rsidRDefault="003B3AD7">
            <w:pPr>
              <w:rPr>
                <w:rFonts w:ascii="Calibri" w:eastAsia="Times New Roman" w:hAnsi="Calibri" w:cs="Calibri"/>
                <w:color w:val="000000"/>
              </w:rPr>
            </w:pPr>
            <w:r>
              <w:rPr>
                <w:rFonts w:ascii="Calibri" w:eastAsia="Times New Roman" w:hAnsi="Calibri" w:cs="Calibri"/>
                <w:color w:val="000000"/>
              </w:rPr>
              <w:t>ΚΡΗΤΗΣ</w:t>
            </w:r>
          </w:p>
        </w:tc>
        <w:tc>
          <w:tcPr>
            <w:tcW w:w="2850" w:type="pct"/>
            <w:noWrap/>
          </w:tcPr>
          <w:p w14:paraId="063FA217"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33</w:t>
            </w:r>
          </w:p>
        </w:tc>
      </w:tr>
      <w:tr w:rsidR="002A2422" w14:paraId="26227301"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17E16B7E" w14:textId="77777777" w:rsidR="002A2422" w:rsidRDefault="003B3AD7">
            <w:pPr>
              <w:rPr>
                <w:rFonts w:ascii="Calibri" w:eastAsia="Times New Roman" w:hAnsi="Calibri" w:cs="Calibri"/>
                <w:color w:val="000000"/>
              </w:rPr>
            </w:pPr>
            <w:r>
              <w:rPr>
                <w:rFonts w:ascii="Calibri" w:eastAsia="Times New Roman" w:hAnsi="Calibri" w:cs="Calibri"/>
                <w:color w:val="000000"/>
              </w:rPr>
              <w:t>ΝΟΤΙΟΥ ΑΙΓΑΙΟΥ</w:t>
            </w:r>
          </w:p>
        </w:tc>
        <w:tc>
          <w:tcPr>
            <w:tcW w:w="2850" w:type="pct"/>
            <w:shd w:val="clear" w:color="auto" w:fill="DBDBDB" w:themeFill="accent3" w:themeFillTint="66"/>
            <w:noWrap/>
          </w:tcPr>
          <w:p w14:paraId="3DE570BA"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15</w:t>
            </w:r>
          </w:p>
        </w:tc>
      </w:tr>
      <w:tr w:rsidR="002A2422" w14:paraId="6AE66C9A"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12A2A244" w14:textId="77777777" w:rsidR="002A2422" w:rsidRDefault="003B3AD7">
            <w:pPr>
              <w:rPr>
                <w:rFonts w:ascii="Calibri" w:eastAsia="Times New Roman" w:hAnsi="Calibri" w:cs="Calibri"/>
                <w:color w:val="000000"/>
              </w:rPr>
            </w:pPr>
            <w:r>
              <w:rPr>
                <w:rFonts w:ascii="Calibri" w:eastAsia="Times New Roman" w:hAnsi="Calibri" w:cs="Calibri"/>
                <w:color w:val="000000"/>
              </w:rPr>
              <w:t>ΟΡΙΖΟΝΤΙΟ</w:t>
            </w:r>
          </w:p>
        </w:tc>
        <w:tc>
          <w:tcPr>
            <w:tcW w:w="2850" w:type="pct"/>
            <w:noWrap/>
          </w:tcPr>
          <w:p w14:paraId="0437C753"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13</w:t>
            </w:r>
          </w:p>
        </w:tc>
      </w:tr>
      <w:tr w:rsidR="002A2422" w14:paraId="54C49724"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24E14BA7" w14:textId="77777777" w:rsidR="002A2422" w:rsidRDefault="003B3AD7">
            <w:pPr>
              <w:rPr>
                <w:rFonts w:ascii="Calibri" w:eastAsia="Times New Roman" w:hAnsi="Calibri" w:cs="Calibri"/>
                <w:color w:val="000000"/>
              </w:rPr>
            </w:pPr>
            <w:r>
              <w:rPr>
                <w:rFonts w:ascii="Calibri" w:eastAsia="Times New Roman" w:hAnsi="Calibri" w:cs="Calibri"/>
                <w:color w:val="000000"/>
              </w:rPr>
              <w:t>ΠΕΛΟΠΟΝΝΗΣΟΥ</w:t>
            </w:r>
          </w:p>
        </w:tc>
        <w:tc>
          <w:tcPr>
            <w:tcW w:w="2850" w:type="pct"/>
            <w:shd w:val="clear" w:color="auto" w:fill="DBDBDB" w:themeFill="accent3" w:themeFillTint="66"/>
            <w:noWrap/>
          </w:tcPr>
          <w:p w14:paraId="72201B4F"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16</w:t>
            </w:r>
          </w:p>
        </w:tc>
      </w:tr>
      <w:tr w:rsidR="002A2422" w14:paraId="03D90CF4"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14E71A38" w14:textId="77777777" w:rsidR="002A2422" w:rsidRDefault="003B3AD7">
            <w:pPr>
              <w:rPr>
                <w:rFonts w:ascii="Calibri" w:eastAsia="Times New Roman" w:hAnsi="Calibri" w:cs="Calibri"/>
                <w:color w:val="000000"/>
              </w:rPr>
            </w:pPr>
            <w:r>
              <w:rPr>
                <w:rFonts w:ascii="Calibri" w:eastAsia="Times New Roman" w:hAnsi="Calibri" w:cs="Calibri"/>
                <w:color w:val="000000"/>
              </w:rPr>
              <w:t>ΣΤΕΡΕΑΣ ΕΛΛΑΔΑΣ</w:t>
            </w:r>
          </w:p>
        </w:tc>
        <w:tc>
          <w:tcPr>
            <w:tcW w:w="2850" w:type="pct"/>
            <w:noWrap/>
          </w:tcPr>
          <w:p w14:paraId="00E59D88"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w:t>
            </w:r>
          </w:p>
        </w:tc>
      </w:tr>
      <w:tr w:rsidR="002A2422" w14:paraId="5A63A15E"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50" w:type="pct"/>
            <w:noWrap/>
          </w:tcPr>
          <w:p w14:paraId="38D29601" w14:textId="77777777" w:rsidR="002A2422" w:rsidRDefault="003B3AD7">
            <w:pPr>
              <w:rPr>
                <w:rFonts w:ascii="Calibri" w:eastAsia="Times New Roman" w:hAnsi="Calibri" w:cs="Calibri"/>
                <w:color w:val="000000"/>
              </w:rPr>
            </w:pPr>
            <w:r>
              <w:rPr>
                <w:rFonts w:ascii="Calibri" w:eastAsia="Times New Roman" w:hAnsi="Calibri" w:cs="Calibri"/>
                <w:color w:val="000000"/>
              </w:rPr>
              <w:t>Γενικό Άθροισμα</w:t>
            </w:r>
          </w:p>
        </w:tc>
        <w:tc>
          <w:tcPr>
            <w:tcW w:w="2850" w:type="pct"/>
            <w:shd w:val="clear" w:color="auto" w:fill="DBDBDB" w:themeFill="accent3" w:themeFillTint="66"/>
            <w:noWrap/>
          </w:tcPr>
          <w:p w14:paraId="01D16D88"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233</w:t>
            </w:r>
          </w:p>
        </w:tc>
      </w:tr>
    </w:tbl>
    <w:p w14:paraId="3B327E60" w14:textId="77777777" w:rsidR="002A2422" w:rsidRDefault="003B3AD7">
      <w:pPr>
        <w:rPr>
          <w:rFonts w:ascii="Times New Roman" w:eastAsia="Times New Roman" w:hAnsi="Times New Roman" w:cs="Times New Roman"/>
          <w:sz w:val="20"/>
          <w:szCs w:val="20"/>
        </w:rPr>
      </w:pPr>
      <w:r>
        <w:rPr>
          <w:rFonts w:asciiTheme="minorHAnsi" w:hAnsiTheme="minorHAnsi" w:cstheme="minorHAnsi"/>
        </w:rPr>
        <w:t xml:space="preserve">Πίνακας 9: Πληρωμές  ενταγμένων έργων τομέα Πολιτισμού ανά Περιφέρεια  </w:t>
      </w:r>
      <w:r>
        <w:rPr>
          <w:rFonts w:ascii="Times New Roman" w:eastAsia="Times New Roman" w:hAnsi="Times New Roman" w:cs="Times New Roman"/>
          <w:b/>
          <w:bCs/>
          <w:sz w:val="20"/>
          <w:szCs w:val="20"/>
        </w:rPr>
        <w:t>(στοιχεία 04.2021)</w:t>
      </w:r>
    </w:p>
    <w:p w14:paraId="1B26F095" w14:textId="77777777" w:rsidR="002A2422" w:rsidRDefault="003B3AD7">
      <w:pPr>
        <w:tabs>
          <w:tab w:val="left" w:pos="1216"/>
        </w:tabs>
        <w:rPr>
          <w:rFonts w:asciiTheme="minorHAnsi" w:hAnsiTheme="minorHAnsi" w:cstheme="minorHAnsi"/>
        </w:rPr>
      </w:pPr>
      <w:r>
        <w:rPr>
          <w:rFonts w:asciiTheme="minorHAnsi" w:hAnsiTheme="minorHAnsi" w:cstheme="minorHAnsi"/>
        </w:rPr>
        <w:t xml:space="preserve"> </w:t>
      </w:r>
    </w:p>
    <w:p w14:paraId="3FE85773" w14:textId="77777777" w:rsidR="002A2422" w:rsidRDefault="002A2422">
      <w:pPr>
        <w:tabs>
          <w:tab w:val="left" w:pos="1365"/>
        </w:tabs>
      </w:pPr>
    </w:p>
    <w:p w14:paraId="4F6FB004" w14:textId="77777777" w:rsidR="002A2422" w:rsidRDefault="002A2422">
      <w:pPr>
        <w:tabs>
          <w:tab w:val="left" w:pos="1365"/>
        </w:tabs>
      </w:pPr>
    </w:p>
    <w:p w14:paraId="0AC0701C" w14:textId="77777777" w:rsidR="002A2422" w:rsidRDefault="003B3AD7">
      <w:pPr>
        <w:tabs>
          <w:tab w:val="left" w:pos="1365"/>
        </w:tabs>
      </w:pPr>
      <w:r>
        <w:rPr>
          <w:noProof/>
        </w:rPr>
        <w:drawing>
          <wp:inline distT="0" distB="0" distL="0" distR="0" wp14:anchorId="6BB3E1E0" wp14:editId="6EED3553">
            <wp:extent cx="5274310" cy="3950970"/>
            <wp:effectExtent l="0" t="0" r="2540" b="11430"/>
            <wp:docPr id="13"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998FCE" w14:textId="77777777" w:rsidR="002A2422" w:rsidRDefault="003B3AD7">
      <w:pPr>
        <w:rPr>
          <w:rFonts w:ascii="Times New Roman" w:eastAsia="Times New Roman" w:hAnsi="Times New Roman" w:cs="Times New Roman"/>
          <w:sz w:val="20"/>
          <w:szCs w:val="20"/>
        </w:rPr>
      </w:pPr>
      <w:r>
        <w:rPr>
          <w:rFonts w:asciiTheme="minorHAnsi" w:hAnsiTheme="minorHAnsi" w:cstheme="minorHAnsi"/>
        </w:rPr>
        <w:t xml:space="preserve">Διάγραμμα  8: Πληρωμές  ενταγμένων έργων τομέα Πολιτισμού ανά Περιφέρεια   </w:t>
      </w:r>
      <w:r>
        <w:rPr>
          <w:rFonts w:ascii="Times New Roman" w:eastAsia="Times New Roman" w:hAnsi="Times New Roman" w:cs="Times New Roman"/>
          <w:b/>
          <w:bCs/>
          <w:sz w:val="20"/>
          <w:szCs w:val="20"/>
        </w:rPr>
        <w:t>(στοιχεία 04.2021)</w:t>
      </w:r>
    </w:p>
    <w:p w14:paraId="052E9D11" w14:textId="77777777" w:rsidR="002A2422" w:rsidRDefault="002A2422">
      <w:pPr>
        <w:tabs>
          <w:tab w:val="left" w:pos="1216"/>
        </w:tabs>
        <w:rPr>
          <w:rFonts w:asciiTheme="minorHAnsi" w:hAnsiTheme="minorHAnsi" w:cstheme="minorHAnsi"/>
        </w:rPr>
      </w:pPr>
    </w:p>
    <w:p w14:paraId="684C56BC" w14:textId="77777777" w:rsidR="002A2422" w:rsidRDefault="002A2422">
      <w:pPr>
        <w:tabs>
          <w:tab w:val="left" w:pos="1365"/>
        </w:tabs>
      </w:pPr>
    </w:p>
    <w:p w14:paraId="53A86807" w14:textId="77777777" w:rsidR="002A2422" w:rsidRDefault="002A2422">
      <w:pPr>
        <w:tabs>
          <w:tab w:val="left" w:pos="1365"/>
        </w:tabs>
      </w:pPr>
    </w:p>
    <w:p w14:paraId="7EABA670" w14:textId="77777777" w:rsidR="002A2422" w:rsidRDefault="002A2422">
      <w:pPr>
        <w:tabs>
          <w:tab w:val="left" w:pos="1365"/>
        </w:tabs>
      </w:pPr>
    </w:p>
    <w:p w14:paraId="1A1D04FC" w14:textId="77777777" w:rsidR="002A2422" w:rsidRDefault="002A2422">
      <w:pPr>
        <w:tabs>
          <w:tab w:val="left" w:pos="1365"/>
        </w:tabs>
      </w:pPr>
    </w:p>
    <w:p w14:paraId="6654F968" w14:textId="77777777" w:rsidR="002A2422" w:rsidRDefault="002A2422">
      <w:pPr>
        <w:tabs>
          <w:tab w:val="left" w:pos="1365"/>
        </w:tabs>
      </w:pPr>
    </w:p>
    <w:p w14:paraId="64F0FE05" w14:textId="77777777" w:rsidR="002A2422" w:rsidRDefault="002A2422">
      <w:pPr>
        <w:tabs>
          <w:tab w:val="left" w:pos="1365"/>
        </w:tabs>
      </w:pPr>
    </w:p>
    <w:p w14:paraId="0C4DED98" w14:textId="77777777" w:rsidR="002A2422" w:rsidRDefault="003B3AD7">
      <w:pPr>
        <w:tabs>
          <w:tab w:val="left" w:pos="1365"/>
        </w:tabs>
        <w:rPr>
          <w:rFonts w:asciiTheme="minorHAnsi" w:hAnsiTheme="minorHAnsi" w:cstheme="minorHAnsi"/>
          <w:b/>
          <w:bCs/>
        </w:rPr>
      </w:pPr>
      <w:r>
        <w:rPr>
          <w:rFonts w:asciiTheme="minorHAnsi" w:hAnsiTheme="minorHAnsi" w:cstheme="minorHAnsi"/>
          <w:b/>
          <w:bCs/>
        </w:rPr>
        <w:t>Αριθμός Ενταγμένων Έργων ανά έτος  (χρονισμός: η ημερομηνία ένταξης)</w:t>
      </w:r>
    </w:p>
    <w:p w14:paraId="24A0A9A7" w14:textId="77777777" w:rsidR="002A2422" w:rsidRDefault="003B3AD7">
      <w:pPr>
        <w:tabs>
          <w:tab w:val="left" w:pos="1365"/>
        </w:tabs>
      </w:pPr>
      <w:r>
        <w:rPr>
          <w:noProof/>
        </w:rPr>
        <w:drawing>
          <wp:inline distT="0" distB="0" distL="0" distR="0" wp14:anchorId="1D23A12C" wp14:editId="7AEADDBD">
            <wp:extent cx="5189220" cy="3113405"/>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25"/>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a:xfrm>
                      <a:off x="0" y="0"/>
                      <a:ext cx="5207960" cy="3124776"/>
                    </a:xfrm>
                    <a:prstGeom prst="rect">
                      <a:avLst/>
                    </a:prstGeom>
                    <a:noFill/>
                    <a:ln>
                      <a:noFill/>
                    </a:ln>
                  </pic:spPr>
                </pic:pic>
              </a:graphicData>
            </a:graphic>
          </wp:inline>
        </w:drawing>
      </w:r>
    </w:p>
    <w:p w14:paraId="42991F72" w14:textId="77777777" w:rsidR="002A2422" w:rsidRDefault="003B3AD7">
      <w:pPr>
        <w:rPr>
          <w:rFonts w:ascii="Times New Roman" w:eastAsia="Times New Roman" w:hAnsi="Times New Roman" w:cs="Times New Roman"/>
          <w:sz w:val="20"/>
          <w:szCs w:val="20"/>
        </w:rPr>
      </w:pPr>
      <w:r>
        <w:rPr>
          <w:rFonts w:asciiTheme="minorHAnsi" w:hAnsiTheme="minorHAnsi" w:cstheme="minorHAnsi"/>
        </w:rPr>
        <w:t xml:space="preserve">Διάγραμμα  9: Ετήσια πορεία εντάξεων έργων  τομέα Πολιτισμού ανά ΕΠ  </w:t>
      </w:r>
      <w:r>
        <w:rPr>
          <w:rFonts w:ascii="Times New Roman" w:eastAsia="Times New Roman" w:hAnsi="Times New Roman" w:cs="Times New Roman"/>
          <w:b/>
          <w:bCs/>
          <w:sz w:val="20"/>
          <w:szCs w:val="20"/>
        </w:rPr>
        <w:t>(στοιχεία 04.2021)</w:t>
      </w:r>
    </w:p>
    <w:p w14:paraId="07581F9A" w14:textId="77777777" w:rsidR="002A2422" w:rsidRDefault="002A2422">
      <w:pPr>
        <w:tabs>
          <w:tab w:val="left" w:pos="1216"/>
        </w:tabs>
        <w:rPr>
          <w:rFonts w:asciiTheme="minorHAnsi" w:hAnsiTheme="minorHAnsi" w:cstheme="minorHAnsi"/>
        </w:rPr>
      </w:pPr>
    </w:p>
    <w:p w14:paraId="5AC0F97C" w14:textId="77777777" w:rsidR="002A2422" w:rsidRDefault="002A2422">
      <w:pPr>
        <w:tabs>
          <w:tab w:val="left" w:pos="1216"/>
        </w:tabs>
        <w:rPr>
          <w:rFonts w:asciiTheme="minorHAnsi" w:hAnsiTheme="minorHAnsi" w:cstheme="minorHAnsi"/>
        </w:rPr>
      </w:pPr>
    </w:p>
    <w:p w14:paraId="38300022" w14:textId="77777777" w:rsidR="002A2422" w:rsidRDefault="002A2422">
      <w:pPr>
        <w:tabs>
          <w:tab w:val="left" w:pos="1216"/>
        </w:tabs>
        <w:rPr>
          <w:rFonts w:asciiTheme="minorHAnsi" w:hAnsiTheme="minorHAnsi" w:cstheme="minorHAnsi"/>
        </w:rPr>
      </w:pPr>
    </w:p>
    <w:p w14:paraId="2481FC62" w14:textId="77777777" w:rsidR="002A2422" w:rsidRDefault="003B3AD7">
      <w:pPr>
        <w:tabs>
          <w:tab w:val="left" w:pos="1216"/>
        </w:tabs>
        <w:rPr>
          <w:rFonts w:asciiTheme="minorHAnsi" w:hAnsiTheme="minorHAnsi" w:cstheme="minorHAnsi"/>
          <w:b/>
          <w:bCs/>
        </w:rPr>
      </w:pPr>
      <w:r>
        <w:rPr>
          <w:rFonts w:asciiTheme="minorHAnsi" w:hAnsiTheme="minorHAnsi" w:cstheme="minorHAnsi"/>
          <w:b/>
          <w:bCs/>
        </w:rPr>
        <w:t>Ειδική αναφορά για Έργα διευκόλυνσης πρόσβασης για ΑΜΕΑ</w:t>
      </w:r>
    </w:p>
    <w:p w14:paraId="29BC01E3" w14:textId="77777777" w:rsidR="002A2422" w:rsidRDefault="002A2422">
      <w:pPr>
        <w:tabs>
          <w:tab w:val="left" w:pos="1216"/>
        </w:tabs>
        <w:jc w:val="center"/>
        <w:rPr>
          <w:rFonts w:asciiTheme="minorHAnsi" w:hAnsiTheme="minorHAnsi" w:cstheme="minorHAnsi"/>
          <w:b/>
          <w:bCs/>
        </w:rPr>
      </w:pPr>
    </w:p>
    <w:tbl>
      <w:tblPr>
        <w:tblStyle w:val="5-31"/>
        <w:tblW w:w="5000" w:type="pct"/>
        <w:tblLook w:val="04A0" w:firstRow="1" w:lastRow="0" w:firstColumn="1" w:lastColumn="0" w:noHBand="0" w:noVBand="1"/>
      </w:tblPr>
      <w:tblGrid>
        <w:gridCol w:w="5089"/>
        <w:gridCol w:w="4554"/>
      </w:tblGrid>
      <w:tr w:rsidR="002A2422" w14:paraId="32EF29E3" w14:textId="77777777" w:rsidTr="002A24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2CA1237A" w14:textId="77777777" w:rsidR="002A2422" w:rsidRDefault="003B3AD7">
            <w:pPr>
              <w:rPr>
                <w:rFonts w:ascii="Calibri" w:eastAsia="Times New Roman" w:hAnsi="Calibri" w:cs="Calibri"/>
                <w:color w:val="000000"/>
              </w:rPr>
            </w:pPr>
            <w:r>
              <w:rPr>
                <w:rFonts w:ascii="Calibri" w:eastAsia="Times New Roman" w:hAnsi="Calibri" w:cs="Calibri"/>
                <w:color w:val="000000"/>
              </w:rPr>
              <w:t xml:space="preserve">ΕΠΙΧΕΙΡΗΣΙΑΚΟ ΠΡΟΓΡΑΜΜΑ </w:t>
            </w:r>
          </w:p>
        </w:tc>
        <w:tc>
          <w:tcPr>
            <w:tcW w:w="827" w:type="pct"/>
            <w:noWrap/>
          </w:tcPr>
          <w:p w14:paraId="3CDADA22" w14:textId="77777777" w:rsidR="002A2422" w:rsidRDefault="003B3AD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Άτομα με Αναπηρία: Αριθμός Έργων ανά Επιχειρησιακό Πρόγραμμα </w:t>
            </w:r>
          </w:p>
        </w:tc>
      </w:tr>
      <w:tr w:rsidR="002A2422" w14:paraId="442A07F8"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1C26B3A5" w14:textId="77777777" w:rsidR="002A2422" w:rsidRDefault="003B3AD7">
            <w:pPr>
              <w:rPr>
                <w:rFonts w:ascii="Calibri" w:eastAsia="Times New Roman" w:hAnsi="Calibri" w:cs="Calibri"/>
                <w:color w:val="000000"/>
              </w:rPr>
            </w:pPr>
            <w:r>
              <w:rPr>
                <w:rFonts w:ascii="Calibri" w:eastAsia="Times New Roman" w:hAnsi="Calibri" w:cs="Calibri"/>
                <w:color w:val="000000"/>
              </w:rPr>
              <w:t>INTERREG- MED</w:t>
            </w:r>
          </w:p>
        </w:tc>
        <w:tc>
          <w:tcPr>
            <w:tcW w:w="827" w:type="pct"/>
            <w:shd w:val="clear" w:color="auto" w:fill="DBDBDB" w:themeFill="accent3" w:themeFillTint="66"/>
            <w:noWrap/>
          </w:tcPr>
          <w:p w14:paraId="13C6940A"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2A2422" w14:paraId="56336CC5"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1B8081BF" w14:textId="77777777" w:rsidR="002A2422" w:rsidRDefault="003B3AD7">
            <w:pPr>
              <w:rPr>
                <w:rFonts w:ascii="Calibri" w:eastAsia="Times New Roman" w:hAnsi="Calibri" w:cs="Calibri"/>
                <w:color w:val="000000"/>
                <w:lang w:val="en-US"/>
              </w:rPr>
            </w:pPr>
            <w:r>
              <w:rPr>
                <w:rFonts w:ascii="Calibri" w:eastAsia="Times New Roman" w:hAnsi="Calibri" w:cs="Calibri"/>
                <w:color w:val="000000"/>
                <w:lang w:val="en-US"/>
              </w:rPr>
              <w:t xml:space="preserve">INTERREG V-A </w:t>
            </w:r>
            <w:r>
              <w:rPr>
                <w:rFonts w:ascii="Calibri" w:eastAsia="Times New Roman" w:hAnsi="Calibri" w:cs="Calibri"/>
                <w:color w:val="000000"/>
              </w:rPr>
              <w:t>ΕΛΛΑΔΑ</w:t>
            </w:r>
            <w:r>
              <w:rPr>
                <w:rFonts w:ascii="Calibri" w:eastAsia="Times New Roman" w:hAnsi="Calibri" w:cs="Calibri"/>
                <w:color w:val="000000"/>
                <w:lang w:val="en-US"/>
              </w:rPr>
              <w:t>-</w:t>
            </w:r>
            <w:r>
              <w:rPr>
                <w:rFonts w:ascii="Calibri" w:eastAsia="Times New Roman" w:hAnsi="Calibri" w:cs="Calibri"/>
                <w:color w:val="000000"/>
              </w:rPr>
              <w:t>ΚΥΠΡΟΣ</w:t>
            </w:r>
          </w:p>
        </w:tc>
        <w:tc>
          <w:tcPr>
            <w:tcW w:w="827" w:type="pct"/>
            <w:noWrap/>
          </w:tcPr>
          <w:p w14:paraId="2BFE4F42"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w:t>
            </w:r>
          </w:p>
        </w:tc>
      </w:tr>
      <w:tr w:rsidR="002A2422" w14:paraId="4B7BCCBC"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0DE09A96" w14:textId="77777777" w:rsidR="002A2422" w:rsidRDefault="003B3AD7">
            <w:pPr>
              <w:rPr>
                <w:rFonts w:ascii="Calibri" w:eastAsia="Times New Roman" w:hAnsi="Calibri" w:cs="Calibri"/>
                <w:color w:val="000000"/>
                <w:lang w:val="en-US"/>
              </w:rPr>
            </w:pPr>
            <w:r>
              <w:rPr>
                <w:rFonts w:ascii="Calibri" w:eastAsia="Times New Roman" w:hAnsi="Calibri" w:cs="Calibri"/>
                <w:color w:val="000000"/>
                <w:lang w:val="en-US"/>
              </w:rPr>
              <w:t xml:space="preserve">INTERREG V-B  BALKAN MEDITERRANEAN </w:t>
            </w:r>
          </w:p>
        </w:tc>
        <w:tc>
          <w:tcPr>
            <w:tcW w:w="827" w:type="pct"/>
            <w:shd w:val="clear" w:color="auto" w:fill="DBDBDB" w:themeFill="accent3" w:themeFillTint="66"/>
            <w:noWrap/>
          </w:tcPr>
          <w:p w14:paraId="7C9717DF"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2A2422" w14:paraId="71442818"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676A128C" w14:textId="77777777" w:rsidR="002A2422" w:rsidRDefault="003B3AD7">
            <w:pPr>
              <w:rPr>
                <w:rFonts w:ascii="Calibri" w:eastAsia="Times New Roman" w:hAnsi="Calibri" w:cs="Calibri"/>
                <w:color w:val="000000"/>
                <w:lang w:val="en-US"/>
              </w:rPr>
            </w:pPr>
            <w:r>
              <w:rPr>
                <w:rFonts w:ascii="Calibri" w:eastAsia="Times New Roman" w:hAnsi="Calibri" w:cs="Calibri"/>
                <w:color w:val="000000"/>
                <w:lang w:val="en-US"/>
              </w:rPr>
              <w:t>INTERREG V-B Adriatic-Ionian ADRION</w:t>
            </w:r>
          </w:p>
        </w:tc>
        <w:tc>
          <w:tcPr>
            <w:tcW w:w="827" w:type="pct"/>
            <w:noWrap/>
          </w:tcPr>
          <w:p w14:paraId="6B568549"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2A2422" w14:paraId="3DAC30A1"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5EC3142F" w14:textId="77777777" w:rsidR="002A2422" w:rsidRDefault="003B3AD7">
            <w:pPr>
              <w:rPr>
                <w:rFonts w:ascii="Calibri" w:eastAsia="Times New Roman" w:hAnsi="Calibri" w:cs="Calibri"/>
                <w:color w:val="000000"/>
              </w:rPr>
            </w:pPr>
            <w:r>
              <w:rPr>
                <w:rFonts w:ascii="Calibri" w:eastAsia="Times New Roman" w:hAnsi="Calibri" w:cs="Calibri"/>
                <w:color w:val="000000"/>
              </w:rPr>
              <w:t>INTERREG ΕΛΛΑΔΑ - ΒΟΥΛΓΑΡΙΑ 2014 -2020</w:t>
            </w:r>
          </w:p>
        </w:tc>
        <w:tc>
          <w:tcPr>
            <w:tcW w:w="827" w:type="pct"/>
            <w:shd w:val="clear" w:color="auto" w:fill="DBDBDB" w:themeFill="accent3" w:themeFillTint="66"/>
            <w:noWrap/>
          </w:tcPr>
          <w:p w14:paraId="7CEA2577"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2A2422" w14:paraId="234F28C4"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11D267A2" w14:textId="77777777" w:rsidR="002A2422" w:rsidRDefault="003B3AD7">
            <w:pPr>
              <w:rPr>
                <w:rFonts w:ascii="Calibri" w:eastAsia="Times New Roman" w:hAnsi="Calibri" w:cs="Calibri"/>
                <w:color w:val="000000"/>
              </w:rPr>
            </w:pPr>
            <w:r>
              <w:rPr>
                <w:rFonts w:ascii="Calibri" w:eastAsia="Times New Roman" w:hAnsi="Calibri" w:cs="Calibri"/>
                <w:color w:val="000000"/>
              </w:rPr>
              <w:t>INTERREG ΕΛΛΑΔΑ – ΙΤΑΛΙΑ</w:t>
            </w:r>
          </w:p>
        </w:tc>
        <w:tc>
          <w:tcPr>
            <w:tcW w:w="827" w:type="pct"/>
            <w:noWrap/>
          </w:tcPr>
          <w:p w14:paraId="4FDE6ED8"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w:t>
            </w:r>
          </w:p>
        </w:tc>
      </w:tr>
      <w:tr w:rsidR="002A2422" w14:paraId="4DF4AC23"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2EDBA7F1" w14:textId="77777777" w:rsidR="002A2422" w:rsidRDefault="003B3AD7">
            <w:pPr>
              <w:rPr>
                <w:rFonts w:ascii="Calibri" w:eastAsia="Times New Roman" w:hAnsi="Calibri" w:cs="Calibri"/>
                <w:color w:val="000000"/>
              </w:rPr>
            </w:pPr>
            <w:r>
              <w:rPr>
                <w:rFonts w:ascii="Calibri" w:eastAsia="Times New Roman" w:hAnsi="Calibri" w:cs="Calibri"/>
                <w:color w:val="000000"/>
              </w:rPr>
              <w:t xml:space="preserve">INTERREG ΕΛΛΑΔΑ-FYROM </w:t>
            </w:r>
          </w:p>
        </w:tc>
        <w:tc>
          <w:tcPr>
            <w:tcW w:w="827" w:type="pct"/>
            <w:shd w:val="clear" w:color="auto" w:fill="DBDBDB" w:themeFill="accent3" w:themeFillTint="66"/>
            <w:noWrap/>
          </w:tcPr>
          <w:p w14:paraId="3BC69FFE"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2A2422" w14:paraId="633A3287"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3E7CA4E3" w14:textId="77777777" w:rsidR="002A2422" w:rsidRDefault="003B3AD7">
            <w:pPr>
              <w:rPr>
                <w:rFonts w:ascii="Calibri" w:eastAsia="Times New Roman" w:hAnsi="Calibri" w:cs="Calibri"/>
                <w:color w:val="000000"/>
              </w:rPr>
            </w:pPr>
            <w:r>
              <w:rPr>
                <w:rFonts w:ascii="Calibri" w:eastAsia="Times New Roman" w:hAnsi="Calibri" w:cs="Calibri"/>
                <w:color w:val="000000"/>
              </w:rPr>
              <w:t>INTERREG ΕΛΛΑΔΑ-ΑΛΒΑΝΙΑ</w:t>
            </w:r>
          </w:p>
        </w:tc>
        <w:tc>
          <w:tcPr>
            <w:tcW w:w="827" w:type="pct"/>
            <w:noWrap/>
          </w:tcPr>
          <w:p w14:paraId="4ECE8110"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w:t>
            </w:r>
          </w:p>
        </w:tc>
      </w:tr>
      <w:tr w:rsidR="002A2422" w14:paraId="6162BE11"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4AB15E94" w14:textId="77777777" w:rsidR="002A2422" w:rsidRDefault="003B3AD7">
            <w:pPr>
              <w:rPr>
                <w:rFonts w:ascii="Calibri" w:eastAsia="Times New Roman" w:hAnsi="Calibri" w:cs="Calibri"/>
                <w:color w:val="000000"/>
              </w:rPr>
            </w:pPr>
            <w:r>
              <w:rPr>
                <w:rFonts w:ascii="Calibri" w:eastAsia="Times New Roman" w:hAnsi="Calibri" w:cs="Calibri"/>
                <w:color w:val="000000"/>
              </w:rPr>
              <w:t>INTERREG ΕΛΛΑΔΑ-ΒΟΥΛΓΑΡΙΑ</w:t>
            </w:r>
          </w:p>
        </w:tc>
        <w:tc>
          <w:tcPr>
            <w:tcW w:w="827" w:type="pct"/>
            <w:shd w:val="clear" w:color="auto" w:fill="DBDBDB" w:themeFill="accent3" w:themeFillTint="66"/>
            <w:noWrap/>
          </w:tcPr>
          <w:p w14:paraId="11861F12"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2A2422" w14:paraId="6E35B1A7"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24228BC9" w14:textId="77777777" w:rsidR="002A2422" w:rsidRDefault="003B3AD7">
            <w:pPr>
              <w:rPr>
                <w:rFonts w:ascii="Calibri" w:eastAsia="Times New Roman" w:hAnsi="Calibri" w:cs="Calibri"/>
                <w:color w:val="000000"/>
              </w:rPr>
            </w:pPr>
            <w:r>
              <w:rPr>
                <w:rFonts w:ascii="Calibri" w:eastAsia="Times New Roman" w:hAnsi="Calibri" w:cs="Calibri"/>
                <w:color w:val="000000"/>
              </w:rPr>
              <w:t>ΑΝΑΠΤΥΞΗ ΑΝΘΡΩΠΙΝΟΥ ΔΥΝΑΜΙΚΟΥ ΕΚΠΑΙΔΕΥΣΗ ΚΑΙ ΔΙΑ ΒΙΟΥ ΜΑΘΗΣΗ</w:t>
            </w:r>
          </w:p>
        </w:tc>
        <w:tc>
          <w:tcPr>
            <w:tcW w:w="827" w:type="pct"/>
            <w:noWrap/>
          </w:tcPr>
          <w:p w14:paraId="5C59704A"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w:t>
            </w:r>
          </w:p>
        </w:tc>
      </w:tr>
      <w:tr w:rsidR="002A2422" w14:paraId="70A3B509"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1CED4DA7" w14:textId="77777777" w:rsidR="002A2422" w:rsidRDefault="003B3AD7">
            <w:pPr>
              <w:rPr>
                <w:rFonts w:ascii="Calibri" w:eastAsia="Times New Roman" w:hAnsi="Calibri" w:cs="Calibri"/>
                <w:color w:val="000000"/>
              </w:rPr>
            </w:pPr>
            <w:r>
              <w:rPr>
                <w:rFonts w:ascii="Calibri" w:eastAsia="Times New Roman" w:hAnsi="Calibri" w:cs="Calibri"/>
                <w:color w:val="000000"/>
              </w:rPr>
              <w:lastRenderedPageBreak/>
              <w:t>ΑΝΑΤΟΛΙΚΗ ΜΑΚΕΔΟΝΙΑ ΘΡΑΚΗ</w:t>
            </w:r>
          </w:p>
        </w:tc>
        <w:tc>
          <w:tcPr>
            <w:tcW w:w="827" w:type="pct"/>
            <w:shd w:val="clear" w:color="auto" w:fill="DBDBDB" w:themeFill="accent3" w:themeFillTint="66"/>
            <w:noWrap/>
          </w:tcPr>
          <w:p w14:paraId="56C8CE6B"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17</w:t>
            </w:r>
          </w:p>
        </w:tc>
      </w:tr>
      <w:tr w:rsidR="002A2422" w14:paraId="16178D18"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53651620" w14:textId="77777777" w:rsidR="002A2422" w:rsidRDefault="003B3AD7">
            <w:pPr>
              <w:rPr>
                <w:rFonts w:ascii="Calibri" w:eastAsia="Times New Roman" w:hAnsi="Calibri" w:cs="Calibri"/>
                <w:color w:val="000000"/>
              </w:rPr>
            </w:pPr>
            <w:r>
              <w:rPr>
                <w:rFonts w:ascii="Calibri" w:eastAsia="Times New Roman" w:hAnsi="Calibri" w:cs="Calibri"/>
                <w:color w:val="000000"/>
              </w:rPr>
              <w:t>ΑΝΤΑΓΩΝΙΣΤΙΚΟΤΗΤΑ ΕΠΙΧΕΙΡΗΜΑΤΙΚΟΤΗΤΑ ΚΑΙ ΚΑΙΝΟΤΟΜΙΑ</w:t>
            </w:r>
          </w:p>
        </w:tc>
        <w:tc>
          <w:tcPr>
            <w:tcW w:w="827" w:type="pct"/>
            <w:noWrap/>
          </w:tcPr>
          <w:p w14:paraId="680EAD34"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51</w:t>
            </w:r>
          </w:p>
        </w:tc>
      </w:tr>
      <w:tr w:rsidR="002A2422" w14:paraId="281A01D2"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208C8619" w14:textId="77777777" w:rsidR="002A2422" w:rsidRDefault="003B3AD7">
            <w:pPr>
              <w:rPr>
                <w:rFonts w:ascii="Calibri" w:eastAsia="Times New Roman" w:hAnsi="Calibri" w:cs="Calibri"/>
                <w:color w:val="000000"/>
              </w:rPr>
            </w:pPr>
            <w:r>
              <w:rPr>
                <w:rFonts w:ascii="Calibri" w:eastAsia="Times New Roman" w:hAnsi="Calibri" w:cs="Calibri"/>
                <w:color w:val="000000"/>
              </w:rPr>
              <w:t>ΑΤΤΙΚΗ</w:t>
            </w:r>
          </w:p>
        </w:tc>
        <w:tc>
          <w:tcPr>
            <w:tcW w:w="827" w:type="pct"/>
            <w:shd w:val="clear" w:color="auto" w:fill="DBDBDB" w:themeFill="accent3" w:themeFillTint="66"/>
            <w:noWrap/>
          </w:tcPr>
          <w:p w14:paraId="4A011F49"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28</w:t>
            </w:r>
          </w:p>
        </w:tc>
      </w:tr>
      <w:tr w:rsidR="002A2422" w14:paraId="500B1F2C"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08C4A803" w14:textId="77777777" w:rsidR="002A2422" w:rsidRDefault="003B3AD7">
            <w:pPr>
              <w:rPr>
                <w:rFonts w:ascii="Calibri" w:eastAsia="Times New Roman" w:hAnsi="Calibri" w:cs="Calibri"/>
                <w:color w:val="000000"/>
              </w:rPr>
            </w:pPr>
            <w:r>
              <w:rPr>
                <w:rFonts w:ascii="Calibri" w:eastAsia="Times New Roman" w:hAnsi="Calibri" w:cs="Calibri"/>
                <w:color w:val="000000"/>
              </w:rPr>
              <w:t>ΒΟΡΕΙΟ ΑΙΓΑΙΟ</w:t>
            </w:r>
          </w:p>
        </w:tc>
        <w:tc>
          <w:tcPr>
            <w:tcW w:w="827" w:type="pct"/>
            <w:noWrap/>
          </w:tcPr>
          <w:p w14:paraId="7B6E42F1"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w:t>
            </w:r>
          </w:p>
        </w:tc>
      </w:tr>
      <w:tr w:rsidR="002A2422" w14:paraId="54165239"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55B7AC21" w14:textId="77777777" w:rsidR="002A2422" w:rsidRDefault="003B3AD7">
            <w:pPr>
              <w:rPr>
                <w:rFonts w:ascii="Calibri" w:eastAsia="Times New Roman" w:hAnsi="Calibri" w:cs="Calibri"/>
                <w:color w:val="000000"/>
              </w:rPr>
            </w:pPr>
            <w:r>
              <w:rPr>
                <w:rFonts w:ascii="Calibri" w:eastAsia="Times New Roman" w:hAnsi="Calibri" w:cs="Calibri"/>
                <w:color w:val="000000"/>
              </w:rPr>
              <w:t>ΔΥΤΙΚΗ ΕΛΛΑΔΑ</w:t>
            </w:r>
          </w:p>
        </w:tc>
        <w:tc>
          <w:tcPr>
            <w:tcW w:w="827" w:type="pct"/>
            <w:shd w:val="clear" w:color="auto" w:fill="DBDBDB" w:themeFill="accent3" w:themeFillTint="66"/>
            <w:noWrap/>
          </w:tcPr>
          <w:p w14:paraId="02536354"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w:t>
            </w:r>
          </w:p>
        </w:tc>
      </w:tr>
      <w:tr w:rsidR="002A2422" w14:paraId="50BF77A5"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775D4433" w14:textId="77777777" w:rsidR="002A2422" w:rsidRDefault="003B3AD7">
            <w:pPr>
              <w:rPr>
                <w:rFonts w:ascii="Calibri" w:eastAsia="Times New Roman" w:hAnsi="Calibri" w:cs="Calibri"/>
                <w:color w:val="000000"/>
              </w:rPr>
            </w:pPr>
            <w:r>
              <w:rPr>
                <w:rFonts w:ascii="Calibri" w:eastAsia="Times New Roman" w:hAnsi="Calibri" w:cs="Calibri"/>
                <w:color w:val="000000"/>
              </w:rPr>
              <w:t>ΔΥΤΙΚΗ ΜΑΚΕΔΟΝΙΑ</w:t>
            </w:r>
          </w:p>
        </w:tc>
        <w:tc>
          <w:tcPr>
            <w:tcW w:w="827" w:type="pct"/>
            <w:noWrap/>
          </w:tcPr>
          <w:p w14:paraId="500E5429"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w:t>
            </w:r>
          </w:p>
        </w:tc>
      </w:tr>
      <w:tr w:rsidR="002A2422" w14:paraId="30E34B44"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5C5DCB1C" w14:textId="77777777" w:rsidR="002A2422" w:rsidRDefault="003B3AD7">
            <w:pPr>
              <w:rPr>
                <w:rFonts w:ascii="Calibri" w:eastAsia="Times New Roman" w:hAnsi="Calibri" w:cs="Calibri"/>
                <w:color w:val="000000"/>
              </w:rPr>
            </w:pPr>
            <w:r>
              <w:rPr>
                <w:rFonts w:ascii="Calibri" w:eastAsia="Times New Roman" w:hAnsi="Calibri" w:cs="Calibri"/>
                <w:color w:val="000000"/>
              </w:rPr>
              <w:t>ΗΠΕΙΡΟΣ</w:t>
            </w:r>
          </w:p>
        </w:tc>
        <w:tc>
          <w:tcPr>
            <w:tcW w:w="827" w:type="pct"/>
            <w:shd w:val="clear" w:color="auto" w:fill="DBDBDB" w:themeFill="accent3" w:themeFillTint="66"/>
            <w:noWrap/>
          </w:tcPr>
          <w:p w14:paraId="1545C6AB"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w:t>
            </w:r>
          </w:p>
        </w:tc>
      </w:tr>
      <w:tr w:rsidR="002A2422" w14:paraId="3C6C75BF"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1ACB2B93" w14:textId="77777777" w:rsidR="002A2422" w:rsidRDefault="003B3AD7">
            <w:pPr>
              <w:rPr>
                <w:rFonts w:ascii="Calibri" w:eastAsia="Times New Roman" w:hAnsi="Calibri" w:cs="Calibri"/>
                <w:color w:val="000000"/>
              </w:rPr>
            </w:pPr>
            <w:r>
              <w:rPr>
                <w:rFonts w:ascii="Calibri" w:eastAsia="Times New Roman" w:hAnsi="Calibri" w:cs="Calibri"/>
                <w:color w:val="000000"/>
              </w:rPr>
              <w:t>ΘΕΣΣΑΛΙΑ</w:t>
            </w:r>
          </w:p>
        </w:tc>
        <w:tc>
          <w:tcPr>
            <w:tcW w:w="827" w:type="pct"/>
            <w:noWrap/>
          </w:tcPr>
          <w:p w14:paraId="7F535EE5"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w:t>
            </w:r>
          </w:p>
        </w:tc>
      </w:tr>
      <w:tr w:rsidR="002A2422" w14:paraId="0B88FE02"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27EDF249" w14:textId="77777777" w:rsidR="002A2422" w:rsidRDefault="003B3AD7">
            <w:pPr>
              <w:rPr>
                <w:rFonts w:ascii="Calibri" w:eastAsia="Times New Roman" w:hAnsi="Calibri" w:cs="Calibri"/>
                <w:color w:val="000000"/>
              </w:rPr>
            </w:pPr>
            <w:r>
              <w:rPr>
                <w:rFonts w:ascii="Calibri" w:eastAsia="Times New Roman" w:hAnsi="Calibri" w:cs="Calibri"/>
                <w:color w:val="000000"/>
              </w:rPr>
              <w:t>ΘΕΣΣΑΛΙΑ 2014-2020</w:t>
            </w:r>
          </w:p>
        </w:tc>
        <w:tc>
          <w:tcPr>
            <w:tcW w:w="827" w:type="pct"/>
            <w:shd w:val="clear" w:color="auto" w:fill="DBDBDB" w:themeFill="accent3" w:themeFillTint="66"/>
            <w:noWrap/>
          </w:tcPr>
          <w:p w14:paraId="6E74A273"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w:t>
            </w:r>
          </w:p>
        </w:tc>
      </w:tr>
      <w:tr w:rsidR="002A2422" w14:paraId="59C9EA82"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21853951" w14:textId="77777777" w:rsidR="002A2422" w:rsidRDefault="003B3AD7">
            <w:pPr>
              <w:rPr>
                <w:rFonts w:ascii="Calibri" w:eastAsia="Times New Roman" w:hAnsi="Calibri" w:cs="Calibri"/>
                <w:color w:val="000000"/>
              </w:rPr>
            </w:pPr>
            <w:r>
              <w:rPr>
                <w:rFonts w:ascii="Calibri" w:eastAsia="Times New Roman" w:hAnsi="Calibri" w:cs="Calibri"/>
                <w:color w:val="000000"/>
              </w:rPr>
              <w:t>ΙΟΝΙΑ ΝΗΣΙΑ</w:t>
            </w:r>
          </w:p>
        </w:tc>
        <w:tc>
          <w:tcPr>
            <w:tcW w:w="827" w:type="pct"/>
            <w:noWrap/>
          </w:tcPr>
          <w:p w14:paraId="0EF4A0CF"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27</w:t>
            </w:r>
          </w:p>
        </w:tc>
      </w:tr>
      <w:tr w:rsidR="002A2422" w14:paraId="0BEF2F3E"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323657BE" w14:textId="77777777" w:rsidR="002A2422" w:rsidRDefault="003B3AD7">
            <w:pPr>
              <w:rPr>
                <w:rFonts w:ascii="Calibri" w:eastAsia="Times New Roman" w:hAnsi="Calibri" w:cs="Calibri"/>
                <w:color w:val="000000"/>
              </w:rPr>
            </w:pPr>
            <w:r>
              <w:rPr>
                <w:rFonts w:ascii="Calibri" w:eastAsia="Times New Roman" w:hAnsi="Calibri" w:cs="Calibri"/>
                <w:color w:val="000000"/>
              </w:rPr>
              <w:t>ΚΕΝΤΡΙΚΗ ΜΑΚΕΔΟΝΙΑ</w:t>
            </w:r>
          </w:p>
        </w:tc>
        <w:tc>
          <w:tcPr>
            <w:tcW w:w="827" w:type="pct"/>
            <w:shd w:val="clear" w:color="auto" w:fill="DBDBDB" w:themeFill="accent3" w:themeFillTint="66"/>
            <w:noWrap/>
          </w:tcPr>
          <w:p w14:paraId="69D0D7AE"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38</w:t>
            </w:r>
          </w:p>
        </w:tc>
      </w:tr>
      <w:tr w:rsidR="002A2422" w14:paraId="4BC165E7"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71F408C1" w14:textId="77777777" w:rsidR="002A2422" w:rsidRDefault="003B3AD7">
            <w:pPr>
              <w:rPr>
                <w:rFonts w:ascii="Calibri" w:eastAsia="Times New Roman" w:hAnsi="Calibri" w:cs="Calibri"/>
                <w:color w:val="000000"/>
              </w:rPr>
            </w:pPr>
            <w:r>
              <w:rPr>
                <w:rFonts w:ascii="Calibri" w:eastAsia="Times New Roman" w:hAnsi="Calibri" w:cs="Calibri"/>
                <w:color w:val="000000"/>
              </w:rPr>
              <w:t>ΚΡΗΤΗ</w:t>
            </w:r>
          </w:p>
        </w:tc>
        <w:tc>
          <w:tcPr>
            <w:tcW w:w="827" w:type="pct"/>
            <w:noWrap/>
          </w:tcPr>
          <w:p w14:paraId="3A00CCE6"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27</w:t>
            </w:r>
          </w:p>
        </w:tc>
      </w:tr>
      <w:tr w:rsidR="002A2422" w14:paraId="0ADAF24D"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556F1A4B" w14:textId="77777777" w:rsidR="002A2422" w:rsidRDefault="003B3AD7">
            <w:pPr>
              <w:rPr>
                <w:rFonts w:ascii="Calibri" w:eastAsia="Times New Roman" w:hAnsi="Calibri" w:cs="Calibri"/>
                <w:color w:val="000000"/>
              </w:rPr>
            </w:pPr>
            <w:r>
              <w:rPr>
                <w:rFonts w:ascii="Calibri" w:eastAsia="Times New Roman" w:hAnsi="Calibri" w:cs="Calibri"/>
                <w:color w:val="000000"/>
              </w:rPr>
              <w:t>ΜΕΤΑΡΡΥΘΜΙΣΗ ΔΗΜΟΣΙΟΥ ΤΟΜΕΑ</w:t>
            </w:r>
          </w:p>
        </w:tc>
        <w:tc>
          <w:tcPr>
            <w:tcW w:w="827" w:type="pct"/>
            <w:shd w:val="clear" w:color="auto" w:fill="DBDBDB" w:themeFill="accent3" w:themeFillTint="66"/>
            <w:noWrap/>
          </w:tcPr>
          <w:p w14:paraId="2250A51C"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2A2422" w14:paraId="77F6B7A9"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0C8E2042" w14:textId="77777777" w:rsidR="002A2422" w:rsidRDefault="003B3AD7">
            <w:pPr>
              <w:rPr>
                <w:rFonts w:ascii="Calibri" w:eastAsia="Times New Roman" w:hAnsi="Calibri" w:cs="Calibri"/>
                <w:color w:val="000000"/>
              </w:rPr>
            </w:pPr>
            <w:r>
              <w:rPr>
                <w:rFonts w:ascii="Calibri" w:eastAsia="Times New Roman" w:hAnsi="Calibri" w:cs="Calibri"/>
                <w:color w:val="000000"/>
              </w:rPr>
              <w:t>ΝΟΤΙΟ ΑΙΓΑΙΟ</w:t>
            </w:r>
          </w:p>
        </w:tc>
        <w:tc>
          <w:tcPr>
            <w:tcW w:w="827" w:type="pct"/>
            <w:noWrap/>
          </w:tcPr>
          <w:p w14:paraId="437844DD"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w:t>
            </w:r>
          </w:p>
        </w:tc>
      </w:tr>
      <w:tr w:rsidR="002A2422" w14:paraId="3EBFD774"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4EF0C561" w14:textId="77777777" w:rsidR="002A2422" w:rsidRDefault="003B3AD7">
            <w:pPr>
              <w:rPr>
                <w:rFonts w:ascii="Calibri" w:eastAsia="Times New Roman" w:hAnsi="Calibri" w:cs="Calibri"/>
                <w:color w:val="000000"/>
              </w:rPr>
            </w:pPr>
            <w:r>
              <w:rPr>
                <w:rFonts w:ascii="Calibri" w:eastAsia="Times New Roman" w:hAnsi="Calibri" w:cs="Calibri"/>
                <w:color w:val="000000"/>
              </w:rPr>
              <w:t>ΠΕΛΟΠΟΝΝΗΣΟΣ</w:t>
            </w:r>
          </w:p>
        </w:tc>
        <w:tc>
          <w:tcPr>
            <w:tcW w:w="827" w:type="pct"/>
            <w:shd w:val="clear" w:color="auto" w:fill="DBDBDB" w:themeFill="accent3" w:themeFillTint="66"/>
            <w:noWrap/>
          </w:tcPr>
          <w:p w14:paraId="05D1052A"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22</w:t>
            </w:r>
          </w:p>
        </w:tc>
      </w:tr>
      <w:tr w:rsidR="002A2422" w14:paraId="45DF6F28"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60B943A5" w14:textId="77777777" w:rsidR="002A2422" w:rsidRDefault="003B3AD7">
            <w:pPr>
              <w:rPr>
                <w:rFonts w:ascii="Calibri" w:eastAsia="Times New Roman" w:hAnsi="Calibri" w:cs="Calibri"/>
                <w:color w:val="000000"/>
              </w:rPr>
            </w:pPr>
            <w:r>
              <w:rPr>
                <w:rFonts w:ascii="Calibri" w:eastAsia="Times New Roman" w:hAnsi="Calibri" w:cs="Calibri"/>
                <w:color w:val="000000"/>
              </w:rPr>
              <w:t>ΣΤΕΡΕΑ ΕΛΛΑΔΑ</w:t>
            </w:r>
          </w:p>
        </w:tc>
        <w:tc>
          <w:tcPr>
            <w:tcW w:w="827" w:type="pct"/>
            <w:noWrap/>
          </w:tcPr>
          <w:p w14:paraId="3E650E39"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w:t>
            </w:r>
          </w:p>
        </w:tc>
      </w:tr>
      <w:tr w:rsidR="002A2422" w14:paraId="675C6183"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27B83231" w14:textId="77777777" w:rsidR="002A2422" w:rsidRDefault="003B3AD7">
            <w:pPr>
              <w:rPr>
                <w:rFonts w:ascii="Calibri" w:eastAsia="Times New Roman" w:hAnsi="Calibri" w:cs="Calibri"/>
                <w:color w:val="000000"/>
              </w:rPr>
            </w:pPr>
            <w:r>
              <w:rPr>
                <w:rFonts w:ascii="Calibri" w:eastAsia="Times New Roman" w:hAnsi="Calibri" w:cs="Calibri"/>
                <w:color w:val="000000"/>
              </w:rPr>
              <w:t>ΥΠΟΔΟΜΕΣ ΜΕΤΑΦΟΡΩΝ, ΠΕΡΙΒΑΛΛΟΝ &amp; ΑΕΙΦΟΡΟΣ ΑΝΑΠΤΥΞΗ 2014-2020</w:t>
            </w:r>
          </w:p>
        </w:tc>
        <w:tc>
          <w:tcPr>
            <w:tcW w:w="827" w:type="pct"/>
            <w:shd w:val="clear" w:color="auto" w:fill="DBDBDB" w:themeFill="accent3" w:themeFillTint="66"/>
            <w:noWrap/>
          </w:tcPr>
          <w:p w14:paraId="606A416A"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w:t>
            </w:r>
          </w:p>
        </w:tc>
      </w:tr>
      <w:tr w:rsidR="002A2422" w14:paraId="38A1A871"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4173" w:type="pct"/>
            <w:noWrap/>
          </w:tcPr>
          <w:p w14:paraId="5E15CEE8" w14:textId="77777777" w:rsidR="002A2422" w:rsidRDefault="003B3AD7">
            <w:pPr>
              <w:rPr>
                <w:rFonts w:ascii="Calibri" w:eastAsia="Times New Roman" w:hAnsi="Calibri" w:cs="Calibri"/>
                <w:color w:val="000000"/>
              </w:rPr>
            </w:pPr>
            <w:r>
              <w:rPr>
                <w:rFonts w:ascii="Calibri" w:eastAsia="Times New Roman" w:hAnsi="Calibri" w:cs="Calibri"/>
                <w:color w:val="000000"/>
              </w:rPr>
              <w:t>Γενικό Άθροισμα</w:t>
            </w:r>
          </w:p>
        </w:tc>
        <w:tc>
          <w:tcPr>
            <w:tcW w:w="827" w:type="pct"/>
            <w:noWrap/>
          </w:tcPr>
          <w:p w14:paraId="05AF7ED7"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298</w:t>
            </w:r>
          </w:p>
        </w:tc>
      </w:tr>
    </w:tbl>
    <w:p w14:paraId="2CC7C294" w14:textId="77777777" w:rsidR="002A2422" w:rsidRDefault="003B3AD7">
      <w:pPr>
        <w:rPr>
          <w:rFonts w:ascii="Times New Roman" w:eastAsia="Times New Roman" w:hAnsi="Times New Roman" w:cs="Times New Roman"/>
          <w:sz w:val="20"/>
          <w:szCs w:val="20"/>
        </w:rPr>
      </w:pPr>
      <w:r>
        <w:rPr>
          <w:rFonts w:asciiTheme="minorHAnsi" w:hAnsiTheme="minorHAnsi" w:cstheme="minorHAnsi"/>
        </w:rPr>
        <w:t xml:space="preserve">Πίνακας 10: Ενταγμένα έργα ΑΜΕΑ ανά ΕΠ </w:t>
      </w:r>
      <w:r>
        <w:rPr>
          <w:rFonts w:ascii="Times New Roman" w:eastAsia="Times New Roman" w:hAnsi="Times New Roman" w:cs="Times New Roman"/>
          <w:b/>
          <w:bCs/>
          <w:sz w:val="20"/>
          <w:szCs w:val="20"/>
        </w:rPr>
        <w:t>(στοιχεία 04.2021)</w:t>
      </w:r>
    </w:p>
    <w:p w14:paraId="06808534" w14:textId="77777777" w:rsidR="002A2422" w:rsidRDefault="002A2422">
      <w:pPr>
        <w:tabs>
          <w:tab w:val="left" w:pos="1365"/>
        </w:tabs>
        <w:rPr>
          <w:rFonts w:asciiTheme="minorHAnsi" w:hAnsiTheme="minorHAnsi" w:cstheme="minorHAnsi"/>
        </w:rPr>
      </w:pPr>
    </w:p>
    <w:p w14:paraId="0B82E2C7" w14:textId="77777777" w:rsidR="002A2422" w:rsidRDefault="002A2422">
      <w:pPr>
        <w:tabs>
          <w:tab w:val="left" w:pos="1365"/>
        </w:tabs>
      </w:pPr>
    </w:p>
    <w:p w14:paraId="37429953" w14:textId="77777777" w:rsidR="002A2422" w:rsidRDefault="003B3AD7">
      <w:pPr>
        <w:tabs>
          <w:tab w:val="left" w:pos="1365"/>
        </w:tabs>
      </w:pPr>
      <w:r>
        <w:lastRenderedPageBreak/>
        <w:t xml:space="preserve"> </w:t>
      </w:r>
      <w:r>
        <w:rPr>
          <w:noProof/>
        </w:rPr>
        <w:drawing>
          <wp:inline distT="0" distB="0" distL="0" distR="0" wp14:anchorId="1F4983D0" wp14:editId="6252889E">
            <wp:extent cx="5274310" cy="4857750"/>
            <wp:effectExtent l="38100" t="0" r="40640" b="0"/>
            <wp:docPr id="14"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00E55D" w14:textId="77777777" w:rsidR="002A2422" w:rsidRDefault="003B3AD7">
      <w:pPr>
        <w:rPr>
          <w:rFonts w:ascii="Times New Roman" w:eastAsia="Times New Roman" w:hAnsi="Times New Roman" w:cs="Times New Roman"/>
          <w:sz w:val="20"/>
          <w:szCs w:val="20"/>
        </w:rPr>
      </w:pPr>
      <w:r>
        <w:rPr>
          <w:rFonts w:asciiTheme="minorHAnsi" w:hAnsiTheme="minorHAnsi" w:cstheme="minorHAnsi"/>
        </w:rPr>
        <w:t xml:space="preserve">Διάγραμμα  10: Ενταγμένα έργα  ΑΜΕΑ ανά ΕΠ </w:t>
      </w:r>
      <w:r>
        <w:rPr>
          <w:rFonts w:ascii="Times New Roman" w:eastAsia="Times New Roman" w:hAnsi="Times New Roman" w:cs="Times New Roman"/>
          <w:b/>
          <w:bCs/>
          <w:sz w:val="20"/>
          <w:szCs w:val="20"/>
        </w:rPr>
        <w:t>(στοιχεία 04.2021)</w:t>
      </w:r>
    </w:p>
    <w:p w14:paraId="6A6BDCF3" w14:textId="77777777" w:rsidR="002A2422" w:rsidRDefault="002A2422">
      <w:pPr>
        <w:tabs>
          <w:tab w:val="left" w:pos="1365"/>
        </w:tabs>
        <w:rPr>
          <w:rFonts w:asciiTheme="minorHAnsi" w:hAnsiTheme="minorHAnsi" w:cstheme="minorHAnsi"/>
        </w:rPr>
      </w:pPr>
    </w:p>
    <w:p w14:paraId="47085103" w14:textId="77777777" w:rsidR="002A2422" w:rsidRDefault="002A2422"/>
    <w:p w14:paraId="2518A7CC" w14:textId="77777777" w:rsidR="002A2422" w:rsidRDefault="003B3AD7">
      <w:r>
        <w:br w:type="page"/>
      </w:r>
    </w:p>
    <w:tbl>
      <w:tblPr>
        <w:tblStyle w:val="5-31"/>
        <w:tblpPr w:leftFromText="180" w:rightFromText="180" w:vertAnchor="text" w:horzAnchor="margin" w:tblpY="-74"/>
        <w:tblW w:w="5000" w:type="pct"/>
        <w:tblLook w:val="04A0" w:firstRow="1" w:lastRow="0" w:firstColumn="1" w:lastColumn="0" w:noHBand="0" w:noVBand="1"/>
      </w:tblPr>
      <w:tblGrid>
        <w:gridCol w:w="4118"/>
        <w:gridCol w:w="5525"/>
      </w:tblGrid>
      <w:tr w:rsidR="002A2422" w14:paraId="29F0FC2E" w14:textId="77777777" w:rsidTr="002A24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noWrap/>
          </w:tcPr>
          <w:p w14:paraId="3DEA106E" w14:textId="77777777" w:rsidR="002A2422" w:rsidRDefault="003B3AD7">
            <w:pPr>
              <w:rPr>
                <w:rFonts w:ascii="Calibri" w:eastAsia="Times New Roman" w:hAnsi="Calibri" w:cs="Calibri"/>
                <w:color w:val="000000"/>
              </w:rPr>
            </w:pPr>
            <w:r>
              <w:rPr>
                <w:rFonts w:ascii="Calibri" w:eastAsia="Times New Roman" w:hAnsi="Calibri" w:cs="Calibri"/>
                <w:color w:val="000000"/>
              </w:rPr>
              <w:lastRenderedPageBreak/>
              <w:t xml:space="preserve">ΠΕΡΙΦΕΡΕΙΕΣ |ΧΩΡΙΚΗ ΚΑΤΑΝΟΜΗ </w:t>
            </w:r>
          </w:p>
        </w:tc>
        <w:tc>
          <w:tcPr>
            <w:tcW w:w="2865" w:type="pct"/>
            <w:noWrap/>
          </w:tcPr>
          <w:p w14:paraId="57852533" w14:textId="77777777" w:rsidR="002A2422" w:rsidRDefault="003B3AD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Άτομα με Αναπηρία Αριθμός Έργων / Περιφέρεια  </w:t>
            </w:r>
          </w:p>
        </w:tc>
      </w:tr>
      <w:tr w:rsidR="002A2422" w14:paraId="4956EB1C"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35" w:type="pct"/>
            <w:noWrap/>
          </w:tcPr>
          <w:p w14:paraId="1D0744B5" w14:textId="77777777" w:rsidR="002A2422" w:rsidRDefault="003B3AD7">
            <w:pPr>
              <w:rPr>
                <w:rFonts w:ascii="Calibri" w:eastAsia="Times New Roman" w:hAnsi="Calibri" w:cs="Calibri"/>
                <w:color w:val="000000"/>
              </w:rPr>
            </w:pPr>
            <w:r>
              <w:rPr>
                <w:rFonts w:ascii="Calibri" w:eastAsia="Times New Roman" w:hAnsi="Calibri" w:cs="Calibri"/>
                <w:color w:val="000000"/>
              </w:rPr>
              <w:t>ΑΝΑΤΟΛΙΚΗΣ ΜΑΚΕΔΟΝΙΑΣ ΘΡΑΚΗΣ</w:t>
            </w:r>
          </w:p>
        </w:tc>
        <w:tc>
          <w:tcPr>
            <w:tcW w:w="2865" w:type="pct"/>
            <w:shd w:val="clear" w:color="auto" w:fill="DBDBDB" w:themeFill="accent3" w:themeFillTint="66"/>
            <w:noWrap/>
          </w:tcPr>
          <w:p w14:paraId="3AE39EFC"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19</w:t>
            </w:r>
          </w:p>
        </w:tc>
      </w:tr>
      <w:tr w:rsidR="002A2422" w14:paraId="018922D7"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35" w:type="pct"/>
            <w:noWrap/>
          </w:tcPr>
          <w:p w14:paraId="2686688A" w14:textId="77777777" w:rsidR="002A2422" w:rsidRDefault="003B3AD7">
            <w:pPr>
              <w:rPr>
                <w:rFonts w:ascii="Calibri" w:eastAsia="Times New Roman" w:hAnsi="Calibri" w:cs="Calibri"/>
                <w:color w:val="000000"/>
              </w:rPr>
            </w:pPr>
            <w:r>
              <w:rPr>
                <w:rFonts w:ascii="Calibri" w:eastAsia="Times New Roman" w:hAnsi="Calibri" w:cs="Calibri"/>
                <w:color w:val="000000"/>
              </w:rPr>
              <w:t>ΑΤΤΙΚΗΣ</w:t>
            </w:r>
          </w:p>
        </w:tc>
        <w:tc>
          <w:tcPr>
            <w:tcW w:w="2865" w:type="pct"/>
            <w:noWrap/>
          </w:tcPr>
          <w:p w14:paraId="0D654808"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40</w:t>
            </w:r>
          </w:p>
        </w:tc>
      </w:tr>
      <w:tr w:rsidR="002A2422" w14:paraId="683EA65D"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35" w:type="pct"/>
            <w:noWrap/>
          </w:tcPr>
          <w:p w14:paraId="050A53F9" w14:textId="77777777" w:rsidR="002A2422" w:rsidRDefault="003B3AD7">
            <w:pPr>
              <w:rPr>
                <w:rFonts w:ascii="Calibri" w:eastAsia="Times New Roman" w:hAnsi="Calibri" w:cs="Calibri"/>
                <w:color w:val="000000"/>
              </w:rPr>
            </w:pPr>
            <w:r>
              <w:rPr>
                <w:rFonts w:ascii="Calibri" w:eastAsia="Times New Roman" w:hAnsi="Calibri" w:cs="Calibri"/>
                <w:color w:val="000000"/>
              </w:rPr>
              <w:t>ΒΟΡΕΙΟΥ ΑΙΓΑΙΟΥ</w:t>
            </w:r>
          </w:p>
        </w:tc>
        <w:tc>
          <w:tcPr>
            <w:tcW w:w="2865" w:type="pct"/>
            <w:shd w:val="clear" w:color="auto" w:fill="DBDBDB" w:themeFill="accent3" w:themeFillTint="66"/>
            <w:noWrap/>
          </w:tcPr>
          <w:p w14:paraId="78441DF8"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20</w:t>
            </w:r>
          </w:p>
        </w:tc>
      </w:tr>
      <w:tr w:rsidR="002A2422" w14:paraId="62B9B713"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35" w:type="pct"/>
            <w:noWrap/>
          </w:tcPr>
          <w:p w14:paraId="468134B2" w14:textId="77777777" w:rsidR="002A2422" w:rsidRDefault="003B3AD7">
            <w:pPr>
              <w:rPr>
                <w:rFonts w:ascii="Calibri" w:eastAsia="Times New Roman" w:hAnsi="Calibri" w:cs="Calibri"/>
                <w:color w:val="000000"/>
              </w:rPr>
            </w:pPr>
            <w:r>
              <w:rPr>
                <w:rFonts w:ascii="Calibri" w:eastAsia="Times New Roman" w:hAnsi="Calibri" w:cs="Calibri"/>
                <w:color w:val="000000"/>
              </w:rPr>
              <w:t>ΔΥΤΙΚΗΣ ΕΛΛΑΔΑΣ</w:t>
            </w:r>
          </w:p>
        </w:tc>
        <w:tc>
          <w:tcPr>
            <w:tcW w:w="2865" w:type="pct"/>
            <w:noWrap/>
          </w:tcPr>
          <w:p w14:paraId="65CF749E"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w:t>
            </w:r>
          </w:p>
        </w:tc>
      </w:tr>
      <w:tr w:rsidR="002A2422" w14:paraId="59F5BBD4"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35" w:type="pct"/>
            <w:noWrap/>
          </w:tcPr>
          <w:p w14:paraId="09B14067" w14:textId="77777777" w:rsidR="002A2422" w:rsidRDefault="003B3AD7">
            <w:pPr>
              <w:rPr>
                <w:rFonts w:ascii="Calibri" w:eastAsia="Times New Roman" w:hAnsi="Calibri" w:cs="Calibri"/>
                <w:color w:val="000000"/>
              </w:rPr>
            </w:pPr>
            <w:r>
              <w:rPr>
                <w:rFonts w:ascii="Calibri" w:eastAsia="Times New Roman" w:hAnsi="Calibri" w:cs="Calibri"/>
                <w:color w:val="000000"/>
              </w:rPr>
              <w:t>ΔΥΤΙΚΗΣ ΜΑΚΕΔΟΝΙΑΣ</w:t>
            </w:r>
          </w:p>
        </w:tc>
        <w:tc>
          <w:tcPr>
            <w:tcW w:w="2865" w:type="pct"/>
            <w:shd w:val="clear" w:color="auto" w:fill="DBDBDB" w:themeFill="accent3" w:themeFillTint="66"/>
            <w:noWrap/>
          </w:tcPr>
          <w:p w14:paraId="7000637E"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w:t>
            </w:r>
          </w:p>
        </w:tc>
      </w:tr>
      <w:tr w:rsidR="002A2422" w14:paraId="1122BD64"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35" w:type="pct"/>
            <w:noWrap/>
          </w:tcPr>
          <w:p w14:paraId="433392F3" w14:textId="77777777" w:rsidR="002A2422" w:rsidRDefault="003B3AD7">
            <w:pPr>
              <w:rPr>
                <w:rFonts w:ascii="Calibri" w:eastAsia="Times New Roman" w:hAnsi="Calibri" w:cs="Calibri"/>
                <w:color w:val="000000"/>
              </w:rPr>
            </w:pPr>
            <w:r>
              <w:rPr>
                <w:rFonts w:ascii="Calibri" w:eastAsia="Times New Roman" w:hAnsi="Calibri" w:cs="Calibri"/>
                <w:color w:val="000000"/>
              </w:rPr>
              <w:t>ΗΠΕΙΡΟΥ</w:t>
            </w:r>
          </w:p>
        </w:tc>
        <w:tc>
          <w:tcPr>
            <w:tcW w:w="2865" w:type="pct"/>
            <w:noWrap/>
          </w:tcPr>
          <w:p w14:paraId="2C995370"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13</w:t>
            </w:r>
          </w:p>
        </w:tc>
      </w:tr>
      <w:tr w:rsidR="002A2422" w14:paraId="3146E277"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35" w:type="pct"/>
            <w:noWrap/>
          </w:tcPr>
          <w:p w14:paraId="7CC866AA" w14:textId="77777777" w:rsidR="002A2422" w:rsidRDefault="003B3AD7">
            <w:pPr>
              <w:rPr>
                <w:rFonts w:ascii="Calibri" w:eastAsia="Times New Roman" w:hAnsi="Calibri" w:cs="Calibri"/>
                <w:color w:val="000000"/>
              </w:rPr>
            </w:pPr>
            <w:r>
              <w:rPr>
                <w:rFonts w:ascii="Calibri" w:eastAsia="Times New Roman" w:hAnsi="Calibri" w:cs="Calibri"/>
                <w:color w:val="000000"/>
              </w:rPr>
              <w:t>ΘΕΣΣΑΛΙΑΣ</w:t>
            </w:r>
          </w:p>
        </w:tc>
        <w:tc>
          <w:tcPr>
            <w:tcW w:w="2865" w:type="pct"/>
            <w:shd w:val="clear" w:color="auto" w:fill="DBDBDB" w:themeFill="accent3" w:themeFillTint="66"/>
            <w:noWrap/>
          </w:tcPr>
          <w:p w14:paraId="2F177095"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w:t>
            </w:r>
          </w:p>
        </w:tc>
      </w:tr>
      <w:tr w:rsidR="002A2422" w14:paraId="03441D9D"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35" w:type="pct"/>
            <w:noWrap/>
          </w:tcPr>
          <w:p w14:paraId="076ABD03" w14:textId="77777777" w:rsidR="002A2422" w:rsidRDefault="003B3AD7">
            <w:pPr>
              <w:rPr>
                <w:rFonts w:ascii="Calibri" w:eastAsia="Times New Roman" w:hAnsi="Calibri" w:cs="Calibri"/>
                <w:color w:val="000000"/>
              </w:rPr>
            </w:pPr>
            <w:r>
              <w:rPr>
                <w:rFonts w:ascii="Calibri" w:eastAsia="Times New Roman" w:hAnsi="Calibri" w:cs="Calibri"/>
                <w:color w:val="000000"/>
              </w:rPr>
              <w:t>ΙΟΝΙΩΝ ΝΗΣΩΝ</w:t>
            </w:r>
          </w:p>
        </w:tc>
        <w:tc>
          <w:tcPr>
            <w:tcW w:w="2865" w:type="pct"/>
            <w:noWrap/>
          </w:tcPr>
          <w:p w14:paraId="24E1BE09"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31</w:t>
            </w:r>
          </w:p>
        </w:tc>
      </w:tr>
      <w:tr w:rsidR="002A2422" w14:paraId="5ACD55BC"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35" w:type="pct"/>
            <w:noWrap/>
          </w:tcPr>
          <w:p w14:paraId="6730C84E" w14:textId="77777777" w:rsidR="002A2422" w:rsidRDefault="003B3AD7">
            <w:pPr>
              <w:rPr>
                <w:rFonts w:ascii="Calibri" w:eastAsia="Times New Roman" w:hAnsi="Calibri" w:cs="Calibri"/>
                <w:color w:val="000000"/>
              </w:rPr>
            </w:pPr>
            <w:r>
              <w:rPr>
                <w:rFonts w:ascii="Calibri" w:eastAsia="Times New Roman" w:hAnsi="Calibri" w:cs="Calibri"/>
                <w:color w:val="000000"/>
              </w:rPr>
              <w:t>ΚΕΝΤΡΙΚΗΣ ΜΑΚΕΔΟΝΙΑΣ</w:t>
            </w:r>
          </w:p>
        </w:tc>
        <w:tc>
          <w:tcPr>
            <w:tcW w:w="2865" w:type="pct"/>
            <w:shd w:val="clear" w:color="auto" w:fill="DBDBDB" w:themeFill="accent3" w:themeFillTint="66"/>
            <w:noWrap/>
          </w:tcPr>
          <w:p w14:paraId="558141FC"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49</w:t>
            </w:r>
          </w:p>
        </w:tc>
      </w:tr>
      <w:tr w:rsidR="002A2422" w14:paraId="6934118B"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35" w:type="pct"/>
            <w:noWrap/>
          </w:tcPr>
          <w:p w14:paraId="125EEA70" w14:textId="77777777" w:rsidR="002A2422" w:rsidRDefault="003B3AD7">
            <w:pPr>
              <w:rPr>
                <w:rFonts w:ascii="Calibri" w:eastAsia="Times New Roman" w:hAnsi="Calibri" w:cs="Calibri"/>
                <w:color w:val="000000"/>
              </w:rPr>
            </w:pPr>
            <w:r>
              <w:rPr>
                <w:rFonts w:ascii="Calibri" w:eastAsia="Times New Roman" w:hAnsi="Calibri" w:cs="Calibri"/>
                <w:color w:val="000000"/>
              </w:rPr>
              <w:t>ΚΡΗΤΗ</w:t>
            </w:r>
          </w:p>
        </w:tc>
        <w:tc>
          <w:tcPr>
            <w:tcW w:w="2865" w:type="pct"/>
            <w:noWrap/>
          </w:tcPr>
          <w:p w14:paraId="5E5475B2"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2A2422" w14:paraId="7F532449"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35" w:type="pct"/>
            <w:noWrap/>
          </w:tcPr>
          <w:p w14:paraId="0D91E035" w14:textId="77777777" w:rsidR="002A2422" w:rsidRDefault="003B3AD7">
            <w:pPr>
              <w:rPr>
                <w:rFonts w:ascii="Calibri" w:eastAsia="Times New Roman" w:hAnsi="Calibri" w:cs="Calibri"/>
                <w:color w:val="000000"/>
              </w:rPr>
            </w:pPr>
            <w:r>
              <w:rPr>
                <w:rFonts w:ascii="Calibri" w:eastAsia="Times New Roman" w:hAnsi="Calibri" w:cs="Calibri"/>
                <w:color w:val="000000"/>
              </w:rPr>
              <w:t>ΚΡΗΤΗΣ</w:t>
            </w:r>
          </w:p>
        </w:tc>
        <w:tc>
          <w:tcPr>
            <w:tcW w:w="2865" w:type="pct"/>
            <w:shd w:val="clear" w:color="auto" w:fill="DBDBDB" w:themeFill="accent3" w:themeFillTint="66"/>
            <w:noWrap/>
          </w:tcPr>
          <w:p w14:paraId="30531B82"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28</w:t>
            </w:r>
          </w:p>
        </w:tc>
      </w:tr>
      <w:tr w:rsidR="002A2422" w14:paraId="56E50869"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35" w:type="pct"/>
            <w:noWrap/>
          </w:tcPr>
          <w:p w14:paraId="33A41176" w14:textId="77777777" w:rsidR="002A2422" w:rsidRDefault="003B3AD7">
            <w:pPr>
              <w:rPr>
                <w:rFonts w:ascii="Calibri" w:eastAsia="Times New Roman" w:hAnsi="Calibri" w:cs="Calibri"/>
                <w:color w:val="000000"/>
              </w:rPr>
            </w:pPr>
            <w:r>
              <w:rPr>
                <w:rFonts w:ascii="Calibri" w:eastAsia="Times New Roman" w:hAnsi="Calibri" w:cs="Calibri"/>
                <w:color w:val="000000"/>
              </w:rPr>
              <w:t>ΝΟΤΙΟΥ ΑΙΓΑΙΟΥ</w:t>
            </w:r>
          </w:p>
        </w:tc>
        <w:tc>
          <w:tcPr>
            <w:tcW w:w="2865" w:type="pct"/>
            <w:noWrap/>
          </w:tcPr>
          <w:p w14:paraId="383EA8F8"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15</w:t>
            </w:r>
          </w:p>
        </w:tc>
      </w:tr>
      <w:tr w:rsidR="002A2422" w14:paraId="68F375BC"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35" w:type="pct"/>
            <w:noWrap/>
          </w:tcPr>
          <w:p w14:paraId="2B808793" w14:textId="77777777" w:rsidR="002A2422" w:rsidRDefault="003B3AD7">
            <w:pPr>
              <w:rPr>
                <w:rFonts w:ascii="Calibri" w:eastAsia="Times New Roman" w:hAnsi="Calibri" w:cs="Calibri"/>
                <w:color w:val="000000"/>
              </w:rPr>
            </w:pPr>
            <w:r>
              <w:rPr>
                <w:rFonts w:ascii="Calibri" w:eastAsia="Times New Roman" w:hAnsi="Calibri" w:cs="Calibri"/>
                <w:color w:val="000000"/>
              </w:rPr>
              <w:t>ΟΡΙΖΟΝΤΙΟ</w:t>
            </w:r>
          </w:p>
        </w:tc>
        <w:tc>
          <w:tcPr>
            <w:tcW w:w="2865" w:type="pct"/>
            <w:shd w:val="clear" w:color="auto" w:fill="DBDBDB" w:themeFill="accent3" w:themeFillTint="66"/>
            <w:noWrap/>
          </w:tcPr>
          <w:p w14:paraId="7CDDEDA9"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13</w:t>
            </w:r>
          </w:p>
        </w:tc>
      </w:tr>
      <w:tr w:rsidR="002A2422" w14:paraId="3E858538"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35" w:type="pct"/>
            <w:noWrap/>
          </w:tcPr>
          <w:p w14:paraId="5EF8AB8D" w14:textId="77777777" w:rsidR="002A2422" w:rsidRDefault="003B3AD7">
            <w:pPr>
              <w:rPr>
                <w:rFonts w:ascii="Calibri" w:eastAsia="Times New Roman" w:hAnsi="Calibri" w:cs="Calibri"/>
                <w:color w:val="000000"/>
              </w:rPr>
            </w:pPr>
            <w:r>
              <w:rPr>
                <w:rFonts w:ascii="Calibri" w:eastAsia="Times New Roman" w:hAnsi="Calibri" w:cs="Calibri"/>
                <w:color w:val="000000"/>
              </w:rPr>
              <w:t>ΠΕΛΟΠΟΝΝΗΣΟΥ</w:t>
            </w:r>
          </w:p>
        </w:tc>
        <w:tc>
          <w:tcPr>
            <w:tcW w:w="2865" w:type="pct"/>
            <w:noWrap/>
          </w:tcPr>
          <w:p w14:paraId="04DA1C8A"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28</w:t>
            </w:r>
          </w:p>
        </w:tc>
      </w:tr>
      <w:tr w:rsidR="002A2422" w14:paraId="7B9BC8EF"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35" w:type="pct"/>
            <w:noWrap/>
          </w:tcPr>
          <w:p w14:paraId="235479D5" w14:textId="77777777" w:rsidR="002A2422" w:rsidRDefault="003B3AD7">
            <w:pPr>
              <w:rPr>
                <w:rFonts w:ascii="Calibri" w:eastAsia="Times New Roman" w:hAnsi="Calibri" w:cs="Calibri"/>
                <w:color w:val="000000"/>
              </w:rPr>
            </w:pPr>
            <w:r>
              <w:rPr>
                <w:rFonts w:ascii="Calibri" w:eastAsia="Times New Roman" w:hAnsi="Calibri" w:cs="Calibri"/>
                <w:color w:val="000000"/>
              </w:rPr>
              <w:t>ΣΤΕΡΕΑΣ ΕΛΛΑΔΑΣ</w:t>
            </w:r>
          </w:p>
        </w:tc>
        <w:tc>
          <w:tcPr>
            <w:tcW w:w="2865" w:type="pct"/>
            <w:shd w:val="clear" w:color="auto" w:fill="DBDBDB" w:themeFill="accent3" w:themeFillTint="66"/>
            <w:noWrap/>
          </w:tcPr>
          <w:p w14:paraId="7AD2949A"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w:t>
            </w:r>
          </w:p>
        </w:tc>
      </w:tr>
      <w:tr w:rsidR="002A2422" w14:paraId="52E76B0D"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135" w:type="pct"/>
            <w:noWrap/>
          </w:tcPr>
          <w:p w14:paraId="227875BB" w14:textId="77777777" w:rsidR="002A2422" w:rsidRDefault="003B3AD7">
            <w:pPr>
              <w:rPr>
                <w:rFonts w:ascii="Calibri" w:eastAsia="Times New Roman" w:hAnsi="Calibri" w:cs="Calibri"/>
                <w:color w:val="000000"/>
              </w:rPr>
            </w:pPr>
            <w:r>
              <w:rPr>
                <w:rFonts w:ascii="Calibri" w:eastAsia="Times New Roman" w:hAnsi="Calibri" w:cs="Calibri"/>
                <w:color w:val="000000"/>
              </w:rPr>
              <w:t>Γενικό Άθροισμα</w:t>
            </w:r>
          </w:p>
        </w:tc>
        <w:tc>
          <w:tcPr>
            <w:tcW w:w="2865" w:type="pct"/>
            <w:noWrap/>
          </w:tcPr>
          <w:p w14:paraId="024958FC"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298</w:t>
            </w:r>
          </w:p>
        </w:tc>
      </w:tr>
    </w:tbl>
    <w:p w14:paraId="1302B1B6" w14:textId="77777777" w:rsidR="002A2422" w:rsidRDefault="003B3AD7">
      <w:pPr>
        <w:rPr>
          <w:rFonts w:ascii="Times New Roman" w:eastAsia="Times New Roman" w:hAnsi="Times New Roman" w:cs="Times New Roman"/>
          <w:sz w:val="20"/>
          <w:szCs w:val="20"/>
        </w:rPr>
      </w:pPr>
      <w:r>
        <w:rPr>
          <w:rFonts w:asciiTheme="minorHAnsi" w:hAnsiTheme="minorHAnsi" w:cstheme="minorHAnsi"/>
        </w:rPr>
        <w:t xml:space="preserve">Πίνακας 11: Ενταγμένα έργα  ΑΜΕΑ ανά Περιφέρεια  </w:t>
      </w:r>
      <w:r>
        <w:rPr>
          <w:rFonts w:ascii="Times New Roman" w:eastAsia="Times New Roman" w:hAnsi="Times New Roman" w:cs="Times New Roman"/>
          <w:b/>
          <w:bCs/>
          <w:sz w:val="20"/>
          <w:szCs w:val="20"/>
        </w:rPr>
        <w:t>(στοιχεία 04.2021)</w:t>
      </w:r>
    </w:p>
    <w:p w14:paraId="69685161" w14:textId="77777777" w:rsidR="002A2422" w:rsidRDefault="002A2422">
      <w:pPr>
        <w:tabs>
          <w:tab w:val="left" w:pos="1365"/>
        </w:tabs>
        <w:rPr>
          <w:rFonts w:asciiTheme="minorHAnsi" w:hAnsiTheme="minorHAnsi" w:cstheme="minorHAnsi"/>
        </w:rPr>
      </w:pPr>
    </w:p>
    <w:p w14:paraId="6206F444" w14:textId="77777777" w:rsidR="002A2422" w:rsidRDefault="002A2422"/>
    <w:p w14:paraId="3FD5C279" w14:textId="77777777" w:rsidR="002A2422" w:rsidRDefault="002A2422"/>
    <w:p w14:paraId="069279C5" w14:textId="77777777" w:rsidR="002A2422" w:rsidRDefault="003B3AD7">
      <w:r>
        <w:rPr>
          <w:noProof/>
        </w:rPr>
        <w:lastRenderedPageBreak/>
        <w:drawing>
          <wp:inline distT="0" distB="0" distL="0" distR="0" wp14:anchorId="13500F3C" wp14:editId="0165319D">
            <wp:extent cx="5274310" cy="5115560"/>
            <wp:effectExtent l="38100" t="0" r="40640" b="8890"/>
            <wp:docPr id="15"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563DED" w14:textId="77777777" w:rsidR="002A2422" w:rsidRDefault="002A2422"/>
    <w:p w14:paraId="53929240" w14:textId="77777777" w:rsidR="002A2422" w:rsidRDefault="003B3AD7">
      <w:pPr>
        <w:rPr>
          <w:rFonts w:ascii="Times New Roman" w:eastAsia="Times New Roman" w:hAnsi="Times New Roman" w:cs="Times New Roman"/>
          <w:sz w:val="20"/>
          <w:szCs w:val="20"/>
        </w:rPr>
      </w:pPr>
      <w:r>
        <w:rPr>
          <w:rFonts w:asciiTheme="minorHAnsi" w:hAnsiTheme="minorHAnsi" w:cstheme="minorHAnsi"/>
        </w:rPr>
        <w:t xml:space="preserve">Διάγραμμα 11: Ενταγμένα έργα  ΑΜΕΑ ανά ΠΕΠ </w:t>
      </w:r>
      <w:r>
        <w:rPr>
          <w:rFonts w:ascii="Times New Roman" w:eastAsia="Times New Roman" w:hAnsi="Times New Roman" w:cs="Times New Roman"/>
          <w:b/>
          <w:bCs/>
          <w:sz w:val="20"/>
          <w:szCs w:val="20"/>
        </w:rPr>
        <w:t>(στοιχεία 04.2021)</w:t>
      </w:r>
    </w:p>
    <w:p w14:paraId="39018355" w14:textId="77777777" w:rsidR="002A2422" w:rsidRDefault="002A2422">
      <w:pPr>
        <w:tabs>
          <w:tab w:val="left" w:pos="1365"/>
        </w:tabs>
        <w:rPr>
          <w:rFonts w:asciiTheme="minorHAnsi" w:hAnsiTheme="minorHAnsi" w:cstheme="minorHAnsi"/>
        </w:rPr>
      </w:pPr>
    </w:p>
    <w:p w14:paraId="0A1824CE" w14:textId="77777777" w:rsidR="002A2422" w:rsidRDefault="002A2422">
      <w:pPr>
        <w:tabs>
          <w:tab w:val="left" w:pos="1716"/>
        </w:tabs>
      </w:pPr>
    </w:p>
    <w:p w14:paraId="5B48ACE7" w14:textId="77777777" w:rsidR="002A2422" w:rsidRDefault="003B3AD7">
      <w:pPr>
        <w:pStyle w:val="Web"/>
        <w:shd w:val="clear" w:color="auto" w:fill="FFFFFF"/>
        <w:spacing w:before="0" w:after="0" w:line="360" w:lineRule="auto"/>
        <w:jc w:val="both"/>
        <w:rPr>
          <w:rFonts w:asciiTheme="minorHAnsi" w:hAnsiTheme="minorHAnsi" w:cstheme="minorHAnsi"/>
          <w:b/>
          <w:bCs/>
          <w:sz w:val="22"/>
          <w:szCs w:val="22"/>
        </w:rPr>
      </w:pPr>
      <w:r>
        <w:rPr>
          <w:rFonts w:asciiTheme="minorHAnsi" w:hAnsiTheme="minorHAnsi" w:cstheme="minorHAnsi"/>
          <w:b/>
          <w:bCs/>
          <w:sz w:val="22"/>
          <w:szCs w:val="22"/>
        </w:rPr>
        <w:t>Κατανομή έργων ανά θεματική  (στοιχεία 10.2020)</w:t>
      </w:r>
    </w:p>
    <w:tbl>
      <w:tblPr>
        <w:tblStyle w:val="6-31"/>
        <w:tblW w:w="5000" w:type="pct"/>
        <w:tblLook w:val="04A0" w:firstRow="1" w:lastRow="0" w:firstColumn="1" w:lastColumn="0" w:noHBand="0" w:noVBand="1"/>
      </w:tblPr>
      <w:tblGrid>
        <w:gridCol w:w="1383"/>
        <w:gridCol w:w="3334"/>
        <w:gridCol w:w="869"/>
        <w:gridCol w:w="1120"/>
        <w:gridCol w:w="795"/>
        <w:gridCol w:w="990"/>
        <w:gridCol w:w="795"/>
        <w:gridCol w:w="367"/>
      </w:tblGrid>
      <w:tr w:rsidR="002A2422" w14:paraId="328C9811" w14:textId="77777777" w:rsidTr="002A24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8"/>
            <w:noWrap/>
          </w:tcPr>
          <w:p w14:paraId="0E1E115B" w14:textId="77777777" w:rsidR="002A2422" w:rsidRDefault="003B3AD7">
            <w:pPr>
              <w:jc w:val="center"/>
              <w:rPr>
                <w:rFonts w:eastAsia="Times New Roman" w:cstheme="minorHAnsi"/>
                <w:sz w:val="18"/>
                <w:szCs w:val="18"/>
                <w:lang w:eastAsia="en-US"/>
              </w:rPr>
            </w:pPr>
            <w:r>
              <w:rPr>
                <w:rFonts w:eastAsia="Times New Roman" w:cstheme="minorHAnsi"/>
                <w:color w:val="000000"/>
                <w:sz w:val="18"/>
                <w:szCs w:val="18"/>
                <w:lang w:eastAsia="en-US"/>
              </w:rPr>
              <w:t>ΣΥΓΧΡΗΜΑΤΟΔΟΥΜΕΝΟ ΠΡΟΓΡΑΜΜΑ ΔΗΜΟΣΙΩΝ ΕΠΕΝΔΥΣΕΩΝ</w:t>
            </w:r>
          </w:p>
        </w:tc>
      </w:tr>
      <w:tr w:rsidR="002A2422" w14:paraId="2FC05A65"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435" w:type="pct"/>
            <w:gridSpan w:val="2"/>
            <w:shd w:val="clear" w:color="auto" w:fill="EDEDED" w:themeFill="accent3" w:themeFillTint="33"/>
            <w:noWrap/>
          </w:tcPr>
          <w:p w14:paraId="56B28D01" w14:textId="77777777" w:rsidR="002A2422" w:rsidRDefault="003B3AD7">
            <w:pPr>
              <w:rPr>
                <w:rFonts w:eastAsia="Times New Roman" w:cstheme="minorHAnsi"/>
                <w:b w:val="0"/>
                <w:bCs w:val="0"/>
                <w:color w:val="000000"/>
                <w:sz w:val="18"/>
                <w:szCs w:val="18"/>
                <w:lang w:eastAsia="en-US"/>
              </w:rPr>
            </w:pPr>
            <w:proofErr w:type="spellStart"/>
            <w:r>
              <w:rPr>
                <w:rFonts w:eastAsia="Times New Roman" w:cstheme="minorHAnsi"/>
                <w:b w:val="0"/>
                <w:bCs w:val="0"/>
                <w:color w:val="000000"/>
                <w:sz w:val="18"/>
                <w:szCs w:val="18"/>
                <w:lang w:eastAsia="en-US"/>
              </w:rPr>
              <w:t>Oμάδες</w:t>
            </w:r>
            <w:proofErr w:type="spellEnd"/>
            <w:r>
              <w:rPr>
                <w:rFonts w:eastAsia="Times New Roman" w:cstheme="minorHAnsi"/>
                <w:b w:val="0"/>
                <w:bCs w:val="0"/>
                <w:color w:val="000000"/>
                <w:sz w:val="18"/>
                <w:szCs w:val="18"/>
                <w:lang w:eastAsia="en-US"/>
              </w:rPr>
              <w:t xml:space="preserve"> Έργων </w:t>
            </w:r>
          </w:p>
        </w:tc>
        <w:tc>
          <w:tcPr>
            <w:tcW w:w="451" w:type="pct"/>
            <w:shd w:val="clear" w:color="auto" w:fill="EDEDED" w:themeFill="accent3" w:themeFillTint="33"/>
            <w:noWrap/>
          </w:tcPr>
          <w:p w14:paraId="1AD84E7C" w14:textId="77777777" w:rsidR="002A2422" w:rsidRDefault="003B3AD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en-US"/>
              </w:rPr>
            </w:pPr>
            <w:r>
              <w:rPr>
                <w:rFonts w:eastAsia="Times New Roman" w:cstheme="minorHAnsi"/>
                <w:b/>
                <w:bCs/>
                <w:color w:val="000000"/>
                <w:sz w:val="18"/>
                <w:szCs w:val="18"/>
                <w:lang w:eastAsia="en-US"/>
              </w:rPr>
              <w:t>Σύνολο Πράξεων</w:t>
            </w:r>
          </w:p>
        </w:tc>
        <w:tc>
          <w:tcPr>
            <w:tcW w:w="580" w:type="pct"/>
            <w:shd w:val="clear" w:color="auto" w:fill="EDEDED" w:themeFill="accent3" w:themeFillTint="33"/>
            <w:noWrap/>
          </w:tcPr>
          <w:p w14:paraId="7747ACD5" w14:textId="77777777" w:rsidR="002A2422" w:rsidRDefault="003B3AD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en-US"/>
              </w:rPr>
            </w:pPr>
            <w:proofErr w:type="spellStart"/>
            <w:r>
              <w:rPr>
                <w:rFonts w:eastAsia="Times New Roman" w:cstheme="minorHAnsi"/>
                <w:b/>
                <w:bCs/>
                <w:color w:val="000000"/>
                <w:sz w:val="18"/>
                <w:szCs w:val="18"/>
                <w:lang w:eastAsia="en-US"/>
              </w:rPr>
              <w:t>Προυπολογισμός</w:t>
            </w:r>
            <w:proofErr w:type="spellEnd"/>
            <w:r>
              <w:rPr>
                <w:rFonts w:eastAsia="Times New Roman" w:cstheme="minorHAnsi"/>
                <w:b/>
                <w:bCs/>
                <w:color w:val="000000"/>
                <w:sz w:val="18"/>
                <w:szCs w:val="18"/>
                <w:lang w:eastAsia="en-US"/>
              </w:rPr>
              <w:t xml:space="preserve"> (Δ/Δ)</w:t>
            </w:r>
          </w:p>
        </w:tc>
        <w:tc>
          <w:tcPr>
            <w:tcW w:w="413" w:type="pct"/>
            <w:shd w:val="clear" w:color="auto" w:fill="EDEDED" w:themeFill="accent3" w:themeFillTint="33"/>
            <w:noWrap/>
          </w:tcPr>
          <w:p w14:paraId="13BE53A7" w14:textId="77777777" w:rsidR="002A2422" w:rsidRDefault="003B3AD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en-US"/>
              </w:rPr>
            </w:pPr>
            <w:r>
              <w:rPr>
                <w:rFonts w:eastAsia="Times New Roman" w:cstheme="minorHAnsi"/>
                <w:b/>
                <w:bCs/>
                <w:color w:val="000000"/>
                <w:sz w:val="18"/>
                <w:szCs w:val="18"/>
                <w:lang w:eastAsia="en-US"/>
              </w:rPr>
              <w:t>% Επί του Π/Υ</w:t>
            </w:r>
          </w:p>
        </w:tc>
        <w:tc>
          <w:tcPr>
            <w:tcW w:w="514" w:type="pct"/>
            <w:shd w:val="clear" w:color="auto" w:fill="EDEDED" w:themeFill="accent3" w:themeFillTint="33"/>
            <w:noWrap/>
          </w:tcPr>
          <w:p w14:paraId="079BF348" w14:textId="77777777" w:rsidR="002A2422" w:rsidRDefault="003B3AD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en-US"/>
              </w:rPr>
            </w:pPr>
            <w:r>
              <w:rPr>
                <w:rFonts w:eastAsia="Times New Roman" w:cstheme="minorHAnsi"/>
                <w:b/>
                <w:bCs/>
                <w:color w:val="000000"/>
                <w:sz w:val="18"/>
                <w:szCs w:val="18"/>
                <w:lang w:eastAsia="en-US"/>
              </w:rPr>
              <w:t xml:space="preserve">Νομικές Δεσμεύσεις </w:t>
            </w:r>
          </w:p>
        </w:tc>
        <w:tc>
          <w:tcPr>
            <w:tcW w:w="413" w:type="pct"/>
            <w:shd w:val="clear" w:color="auto" w:fill="EDEDED" w:themeFill="accent3" w:themeFillTint="33"/>
            <w:noWrap/>
          </w:tcPr>
          <w:p w14:paraId="04D0BAD2" w14:textId="77777777" w:rsidR="002A2422" w:rsidRDefault="003B3AD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en-US"/>
              </w:rPr>
            </w:pPr>
            <w:r>
              <w:rPr>
                <w:rFonts w:eastAsia="Times New Roman" w:cstheme="minorHAnsi"/>
                <w:b/>
                <w:bCs/>
                <w:color w:val="000000"/>
                <w:sz w:val="18"/>
                <w:szCs w:val="18"/>
                <w:lang w:eastAsia="en-US"/>
              </w:rPr>
              <w:t>% Επί του Π/Υ</w:t>
            </w:r>
          </w:p>
        </w:tc>
        <w:tc>
          <w:tcPr>
            <w:tcW w:w="193" w:type="pct"/>
            <w:shd w:val="clear" w:color="auto" w:fill="EDEDED" w:themeFill="accent3" w:themeFillTint="33"/>
            <w:noWrap/>
          </w:tcPr>
          <w:p w14:paraId="569BBD77" w14:textId="77777777" w:rsidR="002A2422" w:rsidRDefault="002A242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en-US"/>
              </w:rPr>
            </w:pPr>
          </w:p>
        </w:tc>
      </w:tr>
      <w:tr w:rsidR="002A2422" w14:paraId="75F3E2EE" w14:textId="77777777" w:rsidTr="002A2422">
        <w:trPr>
          <w:trHeight w:val="1500"/>
        </w:trPr>
        <w:tc>
          <w:tcPr>
            <w:cnfStyle w:val="001000000000" w:firstRow="0" w:lastRow="0" w:firstColumn="1" w:lastColumn="0" w:oddVBand="0" w:evenVBand="0" w:oddHBand="0" w:evenHBand="0" w:firstRowFirstColumn="0" w:firstRowLastColumn="0" w:lastRowFirstColumn="0" w:lastRowLastColumn="0"/>
            <w:tcW w:w="2435" w:type="pct"/>
            <w:gridSpan w:val="2"/>
            <w:noWrap/>
          </w:tcPr>
          <w:p w14:paraId="01589835" w14:textId="77777777" w:rsidR="002A2422" w:rsidRDefault="003B3AD7">
            <w:pPr>
              <w:rPr>
                <w:rFonts w:eastAsia="Times New Roman" w:cstheme="minorHAnsi"/>
                <w:color w:val="000000"/>
                <w:sz w:val="18"/>
                <w:szCs w:val="18"/>
                <w:lang w:eastAsia="en-US"/>
              </w:rPr>
            </w:pPr>
            <w:r>
              <w:rPr>
                <w:rFonts w:eastAsia="Times New Roman" w:cstheme="minorHAnsi"/>
                <w:color w:val="000000"/>
                <w:sz w:val="18"/>
                <w:szCs w:val="18"/>
                <w:lang w:eastAsia="en-US"/>
              </w:rPr>
              <w:t xml:space="preserve">Πολιτιστική κληρονομιά | Προστασία Αποκατάσταση και Ανάδειξη μνημείων, αρχαιολογικών χώρων και συνόλων </w:t>
            </w:r>
          </w:p>
        </w:tc>
        <w:tc>
          <w:tcPr>
            <w:tcW w:w="451" w:type="pct"/>
            <w:noWrap/>
          </w:tcPr>
          <w:p w14:paraId="3ED3CF9E"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173</w:t>
            </w:r>
          </w:p>
        </w:tc>
        <w:tc>
          <w:tcPr>
            <w:tcW w:w="580" w:type="pct"/>
            <w:noWrap/>
          </w:tcPr>
          <w:p w14:paraId="5ED0BA3D"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194.542.876,00</w:t>
            </w:r>
          </w:p>
        </w:tc>
        <w:tc>
          <w:tcPr>
            <w:tcW w:w="413" w:type="pct"/>
            <w:noWrap/>
          </w:tcPr>
          <w:p w14:paraId="0885934D"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66,26%</w:t>
            </w:r>
          </w:p>
        </w:tc>
        <w:tc>
          <w:tcPr>
            <w:tcW w:w="514" w:type="pct"/>
            <w:noWrap/>
          </w:tcPr>
          <w:p w14:paraId="07709BFC"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142.924.721,00</w:t>
            </w:r>
          </w:p>
        </w:tc>
        <w:tc>
          <w:tcPr>
            <w:tcW w:w="413" w:type="pct"/>
            <w:noWrap/>
          </w:tcPr>
          <w:p w14:paraId="061CD011"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68,37%</w:t>
            </w:r>
          </w:p>
        </w:tc>
        <w:tc>
          <w:tcPr>
            <w:tcW w:w="193" w:type="pct"/>
            <w:noWrap/>
          </w:tcPr>
          <w:p w14:paraId="1A66D486" w14:textId="77777777" w:rsidR="002A2422" w:rsidRDefault="002A242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p>
        </w:tc>
      </w:tr>
      <w:tr w:rsidR="002A2422" w14:paraId="1443FB2C" w14:textId="77777777" w:rsidTr="002A2422">
        <w:trPr>
          <w:trHeight w:val="900"/>
        </w:trPr>
        <w:tc>
          <w:tcPr>
            <w:cnfStyle w:val="001000000000" w:firstRow="0" w:lastRow="0" w:firstColumn="1" w:lastColumn="0" w:oddVBand="0" w:evenVBand="0" w:oddHBand="0" w:evenHBand="0" w:firstRowFirstColumn="0" w:firstRowLastColumn="0" w:lastRowFirstColumn="0" w:lastRowLastColumn="0"/>
            <w:tcW w:w="2435" w:type="pct"/>
            <w:gridSpan w:val="2"/>
            <w:shd w:val="clear" w:color="auto" w:fill="EDEDED" w:themeFill="accent3" w:themeFillTint="33"/>
            <w:noWrap/>
          </w:tcPr>
          <w:p w14:paraId="2855C4E4" w14:textId="77777777" w:rsidR="002A2422" w:rsidRDefault="003B3AD7">
            <w:pPr>
              <w:rPr>
                <w:rFonts w:eastAsia="Times New Roman" w:cstheme="minorHAnsi"/>
                <w:color w:val="000000"/>
                <w:sz w:val="18"/>
                <w:szCs w:val="18"/>
                <w:lang w:eastAsia="en-US"/>
              </w:rPr>
            </w:pPr>
            <w:r>
              <w:rPr>
                <w:rFonts w:eastAsia="Times New Roman" w:cstheme="minorHAnsi"/>
                <w:color w:val="000000"/>
                <w:sz w:val="18"/>
                <w:szCs w:val="18"/>
                <w:lang w:eastAsia="en-US"/>
              </w:rPr>
              <w:lastRenderedPageBreak/>
              <w:t xml:space="preserve">Σύγχρονος Πολιτισμός | Εκδηλώσεις (ΠΕΠ Κεντρικής Μακεδονίας &amp; Αττικής) </w:t>
            </w:r>
          </w:p>
        </w:tc>
        <w:tc>
          <w:tcPr>
            <w:tcW w:w="451" w:type="pct"/>
            <w:shd w:val="clear" w:color="auto" w:fill="EDEDED" w:themeFill="accent3" w:themeFillTint="33"/>
            <w:noWrap/>
          </w:tcPr>
          <w:p w14:paraId="7D6F1F30"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18</w:t>
            </w:r>
          </w:p>
        </w:tc>
        <w:tc>
          <w:tcPr>
            <w:tcW w:w="580" w:type="pct"/>
            <w:shd w:val="clear" w:color="auto" w:fill="EDEDED" w:themeFill="accent3" w:themeFillTint="33"/>
            <w:noWrap/>
          </w:tcPr>
          <w:p w14:paraId="2B0C75C4"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19.271.919,00</w:t>
            </w:r>
          </w:p>
        </w:tc>
        <w:tc>
          <w:tcPr>
            <w:tcW w:w="413" w:type="pct"/>
            <w:shd w:val="clear" w:color="auto" w:fill="EDEDED" w:themeFill="accent3" w:themeFillTint="33"/>
            <w:noWrap/>
          </w:tcPr>
          <w:p w14:paraId="180EA776"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6,56%</w:t>
            </w:r>
          </w:p>
        </w:tc>
        <w:tc>
          <w:tcPr>
            <w:tcW w:w="514" w:type="pct"/>
            <w:shd w:val="clear" w:color="auto" w:fill="EDEDED" w:themeFill="accent3" w:themeFillTint="33"/>
            <w:noWrap/>
          </w:tcPr>
          <w:p w14:paraId="053B29BF"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15.983.621,00</w:t>
            </w:r>
          </w:p>
        </w:tc>
        <w:tc>
          <w:tcPr>
            <w:tcW w:w="413" w:type="pct"/>
            <w:shd w:val="clear" w:color="auto" w:fill="EDEDED" w:themeFill="accent3" w:themeFillTint="33"/>
            <w:noWrap/>
          </w:tcPr>
          <w:p w14:paraId="49BD29A0"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7,65%</w:t>
            </w:r>
          </w:p>
        </w:tc>
        <w:tc>
          <w:tcPr>
            <w:tcW w:w="193" w:type="pct"/>
            <w:shd w:val="clear" w:color="auto" w:fill="EDEDED" w:themeFill="accent3" w:themeFillTint="33"/>
            <w:noWrap/>
          </w:tcPr>
          <w:p w14:paraId="78F2C387" w14:textId="77777777" w:rsidR="002A2422" w:rsidRDefault="002A242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p>
        </w:tc>
      </w:tr>
      <w:tr w:rsidR="002A2422" w14:paraId="107758FB"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435" w:type="pct"/>
            <w:gridSpan w:val="2"/>
            <w:noWrap/>
          </w:tcPr>
          <w:p w14:paraId="0F077478" w14:textId="77777777" w:rsidR="002A2422" w:rsidRDefault="003B3AD7">
            <w:pPr>
              <w:rPr>
                <w:rFonts w:eastAsia="Times New Roman" w:cstheme="minorHAnsi"/>
                <w:color w:val="000000"/>
                <w:sz w:val="18"/>
                <w:szCs w:val="18"/>
                <w:lang w:eastAsia="en-US"/>
              </w:rPr>
            </w:pPr>
            <w:r>
              <w:rPr>
                <w:rFonts w:eastAsia="Times New Roman" w:cstheme="minorHAnsi"/>
                <w:color w:val="000000"/>
                <w:sz w:val="18"/>
                <w:szCs w:val="18"/>
                <w:lang w:eastAsia="en-US"/>
              </w:rPr>
              <w:t xml:space="preserve">Μουσεία </w:t>
            </w:r>
          </w:p>
        </w:tc>
        <w:tc>
          <w:tcPr>
            <w:tcW w:w="451" w:type="pct"/>
            <w:noWrap/>
          </w:tcPr>
          <w:p w14:paraId="2C0BDCE3"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19</w:t>
            </w:r>
          </w:p>
        </w:tc>
        <w:tc>
          <w:tcPr>
            <w:tcW w:w="580" w:type="pct"/>
            <w:noWrap/>
          </w:tcPr>
          <w:p w14:paraId="5E25BA45"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49.905.928,00</w:t>
            </w:r>
          </w:p>
        </w:tc>
        <w:tc>
          <w:tcPr>
            <w:tcW w:w="413" w:type="pct"/>
            <w:noWrap/>
          </w:tcPr>
          <w:p w14:paraId="6867BFAE"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17,00%</w:t>
            </w:r>
          </w:p>
        </w:tc>
        <w:tc>
          <w:tcPr>
            <w:tcW w:w="514" w:type="pct"/>
            <w:noWrap/>
          </w:tcPr>
          <w:p w14:paraId="6F317583"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31.115.278,00</w:t>
            </w:r>
          </w:p>
        </w:tc>
        <w:tc>
          <w:tcPr>
            <w:tcW w:w="413" w:type="pct"/>
            <w:noWrap/>
          </w:tcPr>
          <w:p w14:paraId="577613BB"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14,88%</w:t>
            </w:r>
          </w:p>
        </w:tc>
        <w:tc>
          <w:tcPr>
            <w:tcW w:w="193" w:type="pct"/>
            <w:noWrap/>
          </w:tcPr>
          <w:p w14:paraId="67DFD18F" w14:textId="77777777" w:rsidR="002A2422" w:rsidRDefault="002A242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p>
        </w:tc>
      </w:tr>
      <w:tr w:rsidR="002A2422" w14:paraId="19EC021D" w14:textId="77777777" w:rsidTr="002A2422">
        <w:trPr>
          <w:trHeight w:val="600"/>
        </w:trPr>
        <w:tc>
          <w:tcPr>
            <w:cnfStyle w:val="001000000000" w:firstRow="0" w:lastRow="0" w:firstColumn="1" w:lastColumn="0" w:oddVBand="0" w:evenVBand="0" w:oddHBand="0" w:evenHBand="0" w:firstRowFirstColumn="0" w:firstRowLastColumn="0" w:lastRowFirstColumn="0" w:lastRowLastColumn="0"/>
            <w:tcW w:w="2435" w:type="pct"/>
            <w:gridSpan w:val="2"/>
            <w:shd w:val="clear" w:color="auto" w:fill="EDEDED" w:themeFill="accent3" w:themeFillTint="33"/>
            <w:noWrap/>
          </w:tcPr>
          <w:p w14:paraId="4D9D5C97" w14:textId="77777777" w:rsidR="002A2422" w:rsidRDefault="003B3AD7">
            <w:pPr>
              <w:rPr>
                <w:rFonts w:eastAsia="Times New Roman" w:cstheme="minorHAnsi"/>
                <w:color w:val="000000"/>
                <w:sz w:val="18"/>
                <w:szCs w:val="18"/>
                <w:lang w:eastAsia="en-US"/>
              </w:rPr>
            </w:pPr>
            <w:r>
              <w:rPr>
                <w:rFonts w:eastAsia="Times New Roman" w:cstheme="minorHAnsi"/>
                <w:color w:val="000000"/>
                <w:sz w:val="18"/>
                <w:szCs w:val="18"/>
                <w:lang w:eastAsia="en-US"/>
              </w:rPr>
              <w:t>Έρευνα και καινοτομία στον πολιτισμό (ΕΠΑΝΕΚ)</w:t>
            </w:r>
          </w:p>
        </w:tc>
        <w:tc>
          <w:tcPr>
            <w:tcW w:w="451" w:type="pct"/>
            <w:shd w:val="clear" w:color="auto" w:fill="EDEDED" w:themeFill="accent3" w:themeFillTint="33"/>
            <w:noWrap/>
          </w:tcPr>
          <w:p w14:paraId="28F5EAAB"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30</w:t>
            </w:r>
          </w:p>
        </w:tc>
        <w:tc>
          <w:tcPr>
            <w:tcW w:w="580" w:type="pct"/>
            <w:shd w:val="clear" w:color="auto" w:fill="EDEDED" w:themeFill="accent3" w:themeFillTint="33"/>
            <w:noWrap/>
          </w:tcPr>
          <w:p w14:paraId="7D38657A"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4.228.449,00</w:t>
            </w:r>
          </w:p>
        </w:tc>
        <w:tc>
          <w:tcPr>
            <w:tcW w:w="413" w:type="pct"/>
            <w:shd w:val="clear" w:color="auto" w:fill="EDEDED" w:themeFill="accent3" w:themeFillTint="33"/>
            <w:noWrap/>
          </w:tcPr>
          <w:p w14:paraId="779A04D5"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1,44%</w:t>
            </w:r>
          </w:p>
        </w:tc>
        <w:tc>
          <w:tcPr>
            <w:tcW w:w="514" w:type="pct"/>
            <w:shd w:val="clear" w:color="auto" w:fill="EDEDED" w:themeFill="accent3" w:themeFillTint="33"/>
            <w:noWrap/>
          </w:tcPr>
          <w:p w14:paraId="6AB867F9"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3.183.046,00</w:t>
            </w:r>
          </w:p>
        </w:tc>
        <w:tc>
          <w:tcPr>
            <w:tcW w:w="413" w:type="pct"/>
            <w:shd w:val="clear" w:color="auto" w:fill="EDEDED" w:themeFill="accent3" w:themeFillTint="33"/>
            <w:noWrap/>
          </w:tcPr>
          <w:p w14:paraId="3F799A64"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1,52%</w:t>
            </w:r>
          </w:p>
        </w:tc>
        <w:tc>
          <w:tcPr>
            <w:tcW w:w="193" w:type="pct"/>
            <w:shd w:val="clear" w:color="auto" w:fill="EDEDED" w:themeFill="accent3" w:themeFillTint="33"/>
            <w:noWrap/>
          </w:tcPr>
          <w:p w14:paraId="3724CD7D" w14:textId="77777777" w:rsidR="002A2422" w:rsidRDefault="002A242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p>
        </w:tc>
      </w:tr>
      <w:tr w:rsidR="002A2422" w14:paraId="228F0986"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435" w:type="pct"/>
            <w:gridSpan w:val="2"/>
            <w:noWrap/>
          </w:tcPr>
          <w:p w14:paraId="0E19D3E0" w14:textId="77777777" w:rsidR="002A2422" w:rsidRDefault="003B3AD7">
            <w:pPr>
              <w:rPr>
                <w:rFonts w:eastAsia="Times New Roman" w:cstheme="minorHAnsi"/>
                <w:color w:val="000000"/>
                <w:sz w:val="18"/>
                <w:szCs w:val="18"/>
                <w:lang w:eastAsia="en-US"/>
              </w:rPr>
            </w:pPr>
            <w:r>
              <w:rPr>
                <w:rFonts w:eastAsia="Times New Roman" w:cstheme="minorHAnsi"/>
                <w:color w:val="000000"/>
                <w:sz w:val="18"/>
                <w:szCs w:val="18"/>
                <w:lang w:eastAsia="en-US"/>
              </w:rPr>
              <w:t>Ψηφιακές Δράσεις</w:t>
            </w:r>
          </w:p>
        </w:tc>
        <w:tc>
          <w:tcPr>
            <w:tcW w:w="451" w:type="pct"/>
            <w:noWrap/>
          </w:tcPr>
          <w:p w14:paraId="0FE1FAD7"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25</w:t>
            </w:r>
          </w:p>
        </w:tc>
        <w:tc>
          <w:tcPr>
            <w:tcW w:w="580" w:type="pct"/>
            <w:noWrap/>
          </w:tcPr>
          <w:p w14:paraId="6B60C200"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19.391.030,00</w:t>
            </w:r>
          </w:p>
        </w:tc>
        <w:tc>
          <w:tcPr>
            <w:tcW w:w="413" w:type="pct"/>
            <w:noWrap/>
          </w:tcPr>
          <w:p w14:paraId="79FF672B"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6,60%</w:t>
            </w:r>
          </w:p>
        </w:tc>
        <w:tc>
          <w:tcPr>
            <w:tcW w:w="514" w:type="pct"/>
            <w:noWrap/>
          </w:tcPr>
          <w:p w14:paraId="5625CF7C"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13.746.941,00</w:t>
            </w:r>
          </w:p>
        </w:tc>
        <w:tc>
          <w:tcPr>
            <w:tcW w:w="413" w:type="pct"/>
            <w:noWrap/>
          </w:tcPr>
          <w:p w14:paraId="0395B36C"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6,58%</w:t>
            </w:r>
          </w:p>
        </w:tc>
        <w:tc>
          <w:tcPr>
            <w:tcW w:w="193" w:type="pct"/>
            <w:noWrap/>
          </w:tcPr>
          <w:p w14:paraId="2110F4E0" w14:textId="77777777" w:rsidR="002A2422" w:rsidRDefault="002A242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p>
        </w:tc>
      </w:tr>
      <w:tr w:rsidR="002A2422" w14:paraId="16648562"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2435" w:type="pct"/>
            <w:gridSpan w:val="2"/>
            <w:shd w:val="clear" w:color="auto" w:fill="EDEDED" w:themeFill="accent3" w:themeFillTint="33"/>
            <w:noWrap/>
          </w:tcPr>
          <w:p w14:paraId="646D0C7B" w14:textId="77777777" w:rsidR="002A2422" w:rsidRDefault="003B3AD7">
            <w:pPr>
              <w:rPr>
                <w:rFonts w:eastAsia="Times New Roman" w:cstheme="minorHAnsi"/>
                <w:color w:val="000000"/>
                <w:sz w:val="18"/>
                <w:szCs w:val="18"/>
                <w:lang w:eastAsia="en-US"/>
              </w:rPr>
            </w:pPr>
            <w:r>
              <w:rPr>
                <w:rFonts w:eastAsia="Times New Roman" w:cstheme="minorHAnsi"/>
                <w:color w:val="000000"/>
                <w:sz w:val="18"/>
                <w:szCs w:val="18"/>
                <w:lang w:eastAsia="en-US"/>
              </w:rPr>
              <w:t>Εκπαιδευτικές Δράσεις</w:t>
            </w:r>
          </w:p>
        </w:tc>
        <w:tc>
          <w:tcPr>
            <w:tcW w:w="451" w:type="pct"/>
            <w:shd w:val="clear" w:color="auto" w:fill="EDEDED" w:themeFill="accent3" w:themeFillTint="33"/>
            <w:noWrap/>
          </w:tcPr>
          <w:p w14:paraId="4684AA5E"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6</w:t>
            </w:r>
          </w:p>
        </w:tc>
        <w:tc>
          <w:tcPr>
            <w:tcW w:w="580" w:type="pct"/>
            <w:shd w:val="clear" w:color="auto" w:fill="EDEDED" w:themeFill="accent3" w:themeFillTint="33"/>
            <w:noWrap/>
          </w:tcPr>
          <w:p w14:paraId="6A88B043"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6.247.805,00</w:t>
            </w:r>
          </w:p>
        </w:tc>
        <w:tc>
          <w:tcPr>
            <w:tcW w:w="413" w:type="pct"/>
            <w:shd w:val="clear" w:color="auto" w:fill="EDEDED" w:themeFill="accent3" w:themeFillTint="33"/>
            <w:noWrap/>
          </w:tcPr>
          <w:p w14:paraId="18DEEB8F"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2,13%</w:t>
            </w:r>
          </w:p>
        </w:tc>
        <w:tc>
          <w:tcPr>
            <w:tcW w:w="514" w:type="pct"/>
            <w:shd w:val="clear" w:color="auto" w:fill="EDEDED" w:themeFill="accent3" w:themeFillTint="33"/>
            <w:noWrap/>
          </w:tcPr>
          <w:p w14:paraId="3AFF9209"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2.104.857,00</w:t>
            </w:r>
          </w:p>
        </w:tc>
        <w:tc>
          <w:tcPr>
            <w:tcW w:w="413" w:type="pct"/>
            <w:shd w:val="clear" w:color="auto" w:fill="EDEDED" w:themeFill="accent3" w:themeFillTint="33"/>
            <w:noWrap/>
          </w:tcPr>
          <w:p w14:paraId="799228E0"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1,01%</w:t>
            </w:r>
          </w:p>
        </w:tc>
        <w:tc>
          <w:tcPr>
            <w:tcW w:w="193" w:type="pct"/>
            <w:shd w:val="clear" w:color="auto" w:fill="EDEDED" w:themeFill="accent3" w:themeFillTint="33"/>
            <w:noWrap/>
          </w:tcPr>
          <w:p w14:paraId="77370FC2" w14:textId="77777777" w:rsidR="002A2422" w:rsidRDefault="002A242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p>
        </w:tc>
      </w:tr>
      <w:tr w:rsidR="002A2422" w14:paraId="147D7E68" w14:textId="77777777" w:rsidTr="002A2422">
        <w:trPr>
          <w:trHeight w:val="300"/>
        </w:trPr>
        <w:tc>
          <w:tcPr>
            <w:cnfStyle w:val="001000000000" w:firstRow="0" w:lastRow="0" w:firstColumn="1" w:lastColumn="0" w:oddVBand="0" w:evenVBand="0" w:oddHBand="0" w:evenHBand="0" w:firstRowFirstColumn="0" w:firstRowLastColumn="0" w:lastRowFirstColumn="0" w:lastRowLastColumn="0"/>
            <w:tcW w:w="686" w:type="pct"/>
            <w:noWrap/>
          </w:tcPr>
          <w:p w14:paraId="295DB67A" w14:textId="77777777" w:rsidR="002A2422" w:rsidRDefault="002A2422">
            <w:pPr>
              <w:rPr>
                <w:rFonts w:eastAsia="Times New Roman" w:cstheme="minorHAnsi"/>
                <w:sz w:val="18"/>
                <w:szCs w:val="18"/>
                <w:lang w:eastAsia="en-US"/>
              </w:rPr>
            </w:pPr>
          </w:p>
        </w:tc>
        <w:tc>
          <w:tcPr>
            <w:tcW w:w="1749" w:type="pct"/>
            <w:noWrap/>
          </w:tcPr>
          <w:p w14:paraId="0B2E30CD" w14:textId="77777777" w:rsidR="002A2422" w:rsidRDefault="002A2422">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US"/>
              </w:rPr>
            </w:pPr>
          </w:p>
        </w:tc>
        <w:tc>
          <w:tcPr>
            <w:tcW w:w="451" w:type="pct"/>
            <w:noWrap/>
          </w:tcPr>
          <w:p w14:paraId="0612F115"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271</w:t>
            </w:r>
          </w:p>
        </w:tc>
        <w:tc>
          <w:tcPr>
            <w:tcW w:w="580" w:type="pct"/>
            <w:noWrap/>
          </w:tcPr>
          <w:p w14:paraId="1FB7667B"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293.588.007,00</w:t>
            </w:r>
          </w:p>
        </w:tc>
        <w:tc>
          <w:tcPr>
            <w:tcW w:w="413" w:type="pct"/>
            <w:noWrap/>
          </w:tcPr>
          <w:p w14:paraId="59E34AD5"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100,00%</w:t>
            </w:r>
          </w:p>
        </w:tc>
        <w:tc>
          <w:tcPr>
            <w:tcW w:w="514" w:type="pct"/>
            <w:noWrap/>
          </w:tcPr>
          <w:p w14:paraId="7FBAB886"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209.058.464,00</w:t>
            </w:r>
          </w:p>
        </w:tc>
        <w:tc>
          <w:tcPr>
            <w:tcW w:w="413" w:type="pct"/>
            <w:noWrap/>
          </w:tcPr>
          <w:p w14:paraId="3945E324"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100,00%</w:t>
            </w:r>
          </w:p>
        </w:tc>
        <w:tc>
          <w:tcPr>
            <w:tcW w:w="193" w:type="pct"/>
            <w:noWrap/>
          </w:tcPr>
          <w:p w14:paraId="4927BCA9" w14:textId="77777777" w:rsidR="002A2422" w:rsidRDefault="003B3AD7">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US"/>
              </w:rPr>
            </w:pPr>
            <w:r>
              <w:rPr>
                <w:rFonts w:eastAsia="Times New Roman" w:cstheme="minorHAnsi"/>
                <w:color w:val="000000"/>
                <w:sz w:val="18"/>
                <w:szCs w:val="18"/>
                <w:lang w:eastAsia="en-US"/>
              </w:rPr>
              <w:t>0,00</w:t>
            </w:r>
          </w:p>
        </w:tc>
      </w:tr>
    </w:tbl>
    <w:p w14:paraId="2D671B8C" w14:textId="77777777" w:rsidR="002A2422" w:rsidRDefault="003B3AD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Πίνακας 12: Συγκεντρωτικά οικονομικά στοιχεία στο Συγχρηματοδοτούμενο σκέλος του  ΠΔΕ </w:t>
      </w:r>
      <w:r>
        <w:rPr>
          <w:rFonts w:ascii="Times New Roman" w:eastAsia="Times New Roman" w:hAnsi="Times New Roman" w:cs="Times New Roman"/>
          <w:b/>
          <w:bCs/>
          <w:sz w:val="20"/>
          <w:szCs w:val="20"/>
        </w:rPr>
        <w:t>(στοιχεία 10.2020)</w:t>
      </w:r>
    </w:p>
    <w:p w14:paraId="67989370" w14:textId="77777777" w:rsidR="002A2422" w:rsidRDefault="003B3AD7">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2D0C15" wp14:editId="35355660">
            <wp:extent cx="152400" cy="15240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14:anchorId="5A3F708F" wp14:editId="4ECE11AD">
            <wp:extent cx="6255385" cy="3802380"/>
            <wp:effectExtent l="0" t="0" r="0" b="762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pic:cNvPicPr>
                      <a:picLocks noChangeAspect="1"/>
                    </pic:cNvPicPr>
                  </pic:nvPicPr>
                  <pic:blipFill>
                    <a:blip r:embed="rId25"/>
                    <a:srcRect l="3758" t="40324" r="52034" b="11901"/>
                    <a:stretch>
                      <a:fillRect/>
                    </a:stretch>
                  </pic:blipFill>
                  <pic:spPr>
                    <a:xfrm>
                      <a:off x="0" y="0"/>
                      <a:ext cx="6260709" cy="3805529"/>
                    </a:xfrm>
                    <a:prstGeom prst="rect">
                      <a:avLst/>
                    </a:prstGeom>
                    <a:ln>
                      <a:noFill/>
                    </a:ln>
                  </pic:spPr>
                </pic:pic>
              </a:graphicData>
            </a:graphic>
          </wp:inline>
        </w:drawing>
      </w:r>
    </w:p>
    <w:p w14:paraId="635D17C3" w14:textId="77777777" w:rsidR="002A2422" w:rsidRDefault="003B3AD7">
      <w:pPr>
        <w:rPr>
          <w:rFonts w:ascii="Times New Roman" w:eastAsia="Times New Roman" w:hAnsi="Times New Roman" w:cs="Times New Roman"/>
          <w:sz w:val="20"/>
          <w:szCs w:val="20"/>
        </w:rPr>
      </w:pPr>
      <w:r>
        <w:rPr>
          <w:rFonts w:asciiTheme="minorHAnsi" w:hAnsiTheme="minorHAnsi" w:cstheme="minorHAnsi"/>
          <w:sz w:val="20"/>
          <w:szCs w:val="20"/>
        </w:rPr>
        <w:t xml:space="preserve">Διάγραμμα 12: Αριθμητική κατανομή ενταγμένων έργων στο συγχρηματοδοτούμενο ΠΔΕ  </w:t>
      </w:r>
      <w:r>
        <w:rPr>
          <w:rFonts w:ascii="Times New Roman" w:eastAsia="Times New Roman" w:hAnsi="Times New Roman" w:cs="Times New Roman"/>
          <w:b/>
          <w:bCs/>
          <w:sz w:val="20"/>
          <w:szCs w:val="20"/>
        </w:rPr>
        <w:t>(στοιχεία 10.2020)</w:t>
      </w:r>
    </w:p>
    <w:p w14:paraId="05657926" w14:textId="77777777" w:rsidR="002A2422" w:rsidRDefault="002A2422">
      <w:pPr>
        <w:rPr>
          <w:rFonts w:asciiTheme="minorHAnsi" w:hAnsiTheme="minorHAnsi" w:cstheme="minorHAnsi"/>
          <w:sz w:val="20"/>
          <w:szCs w:val="20"/>
        </w:rPr>
      </w:pPr>
    </w:p>
    <w:p w14:paraId="20E54A19" w14:textId="77777777" w:rsidR="002A2422" w:rsidRDefault="002A2422">
      <w:pPr>
        <w:spacing w:line="240" w:lineRule="auto"/>
        <w:rPr>
          <w:rFonts w:ascii="Times New Roman" w:eastAsia="Times New Roman" w:hAnsi="Times New Roman" w:cs="Times New Roman"/>
          <w:sz w:val="24"/>
          <w:szCs w:val="24"/>
        </w:rPr>
      </w:pPr>
    </w:p>
    <w:p w14:paraId="175869C4" w14:textId="77777777" w:rsidR="002A2422" w:rsidRDefault="002A2422">
      <w:pPr>
        <w:tabs>
          <w:tab w:val="left" w:pos="1716"/>
        </w:tabs>
      </w:pPr>
    </w:p>
    <w:p w14:paraId="35DE3F06" w14:textId="77777777" w:rsidR="002A2422" w:rsidRDefault="002A2422">
      <w:pPr>
        <w:tabs>
          <w:tab w:val="left" w:pos="2175"/>
        </w:tabs>
      </w:pPr>
    </w:p>
    <w:p w14:paraId="2A249336" w14:textId="77777777" w:rsidR="002A2422" w:rsidRDefault="002A2422">
      <w:pPr>
        <w:tabs>
          <w:tab w:val="left" w:pos="2175"/>
        </w:tabs>
      </w:pPr>
    </w:p>
    <w:p w14:paraId="583043C6" w14:textId="77777777" w:rsidR="002A2422" w:rsidRDefault="003B3AD7">
      <w:pPr>
        <w:pStyle w:val="3"/>
      </w:pPr>
      <w:bookmarkStart w:id="42" w:name="_Toc68011196"/>
      <w:bookmarkStart w:id="43" w:name="_Toc73665481"/>
      <w:r>
        <w:lastRenderedPageBreak/>
        <w:t>Συμπεράσματα</w:t>
      </w:r>
      <w:bookmarkEnd w:id="42"/>
      <w:bookmarkEnd w:id="43"/>
    </w:p>
    <w:p w14:paraId="4EA4F5DE" w14:textId="77777777" w:rsidR="002A2422" w:rsidRDefault="003B3AD7">
      <w:pPr>
        <w:spacing w:before="60" w:after="60" w:line="324" w:lineRule="auto"/>
        <w:rPr>
          <w:rFonts w:asciiTheme="minorHAnsi" w:hAnsiTheme="minorHAnsi" w:cstheme="minorHAnsi"/>
          <w:sz w:val="24"/>
          <w:szCs w:val="24"/>
        </w:rPr>
      </w:pPr>
      <w:r>
        <w:rPr>
          <w:rFonts w:asciiTheme="minorHAnsi" w:hAnsiTheme="minorHAnsi" w:cstheme="minorHAnsi"/>
          <w:sz w:val="24"/>
          <w:szCs w:val="24"/>
        </w:rPr>
        <w:t>Συμπερασματικά, η εικόνα που διαμορφώνεται από τις παρεμβάσεις της Προγραμματικής Περιόδου 2014-2020 είναι συνοπτικά η ακόλουθη:</w:t>
      </w:r>
    </w:p>
    <w:p w14:paraId="297937EA" w14:textId="77777777" w:rsidR="002A2422" w:rsidRDefault="003B3AD7">
      <w:pPr>
        <w:numPr>
          <w:ilvl w:val="0"/>
          <w:numId w:val="9"/>
        </w:numPr>
        <w:suppressAutoHyphens/>
        <w:autoSpaceDN w:val="0"/>
        <w:spacing w:before="60" w:after="60" w:line="324" w:lineRule="auto"/>
        <w:textAlignment w:val="baseline"/>
        <w:rPr>
          <w:rFonts w:asciiTheme="minorHAnsi" w:hAnsiTheme="minorHAnsi" w:cstheme="minorHAnsi"/>
          <w:sz w:val="24"/>
          <w:szCs w:val="24"/>
        </w:rPr>
      </w:pPr>
      <w:r>
        <w:rPr>
          <w:rFonts w:asciiTheme="minorHAnsi" w:hAnsiTheme="minorHAnsi" w:cstheme="minorHAnsi"/>
          <w:sz w:val="24"/>
          <w:szCs w:val="24"/>
        </w:rPr>
        <w:t xml:space="preserve">Σημαντική διακριτή παρέμβαση αποτελούν τα Έργα έρευνας και καινοτομίας (ΕΠΑΝΕΚ και ΠΕΠ) με αξιοποίηση προηγμένων τεχνολογιών: Συμμετοχή Υπηρεσιών ή Εποπτευόμενων Φορέων του ΥΠΠΟΑ, σε συνεργατικά σχήματα της Δράσης «Ερευνώ – Δημιουργώ – Καινοτομώ», Σχεδιασμός για πρώτη φορά στο ΕΣΠΑ 2014-2020, εξειδικευμένου προγράμματος ΕΤΑΚ «Ανοιχτή Καινοτομία στον Πολιτισμό» με συμμετοχή Υπηρεσιών ή Εποπτευόμενων Φορέων του ΥΠΠΟΑ σε συνεργατικά σχήματα. </w:t>
      </w:r>
    </w:p>
    <w:p w14:paraId="2A62E5EC" w14:textId="77777777" w:rsidR="002A2422" w:rsidRDefault="003B3AD7">
      <w:pPr>
        <w:numPr>
          <w:ilvl w:val="0"/>
          <w:numId w:val="9"/>
        </w:numPr>
        <w:suppressAutoHyphens/>
        <w:autoSpaceDN w:val="0"/>
        <w:spacing w:before="60" w:after="60" w:line="324" w:lineRule="auto"/>
        <w:textAlignment w:val="baseline"/>
        <w:rPr>
          <w:rFonts w:asciiTheme="minorHAnsi" w:hAnsiTheme="minorHAnsi" w:cstheme="minorHAnsi"/>
          <w:sz w:val="24"/>
          <w:szCs w:val="24"/>
        </w:rPr>
      </w:pPr>
      <w:r>
        <w:rPr>
          <w:rFonts w:asciiTheme="minorHAnsi" w:hAnsiTheme="minorHAnsi" w:cstheme="minorHAnsi"/>
          <w:sz w:val="24"/>
          <w:szCs w:val="24"/>
        </w:rPr>
        <w:t xml:space="preserve">Οι δράσεις </w:t>
      </w:r>
      <w:proofErr w:type="spellStart"/>
      <w:r>
        <w:rPr>
          <w:rFonts w:asciiTheme="minorHAnsi" w:hAnsiTheme="minorHAnsi" w:cstheme="minorHAnsi"/>
          <w:sz w:val="24"/>
          <w:szCs w:val="24"/>
        </w:rPr>
        <w:t>ψηφιοποίησης</w:t>
      </w:r>
      <w:proofErr w:type="spellEnd"/>
      <w:r>
        <w:rPr>
          <w:rFonts w:asciiTheme="minorHAnsi" w:hAnsiTheme="minorHAnsi" w:cstheme="minorHAnsi"/>
          <w:sz w:val="24"/>
          <w:szCs w:val="24"/>
        </w:rPr>
        <w:t xml:space="preserve"> (ηλεκτρονικός πολιτισμός): Ολοκληρώνονται σημαντικά ψηφιακά έργα (όπως το «Αρχαιολογικό Κτηματολόγιο», η «</w:t>
      </w:r>
      <w:proofErr w:type="spellStart"/>
      <w:r>
        <w:rPr>
          <w:rFonts w:asciiTheme="minorHAnsi" w:hAnsiTheme="minorHAnsi" w:cstheme="minorHAnsi"/>
          <w:sz w:val="24"/>
          <w:szCs w:val="24"/>
        </w:rPr>
        <w:t>Ψηφιοποίηση</w:t>
      </w:r>
      <w:proofErr w:type="spellEnd"/>
      <w:r>
        <w:rPr>
          <w:rFonts w:asciiTheme="minorHAnsi" w:hAnsiTheme="minorHAnsi" w:cstheme="minorHAnsi"/>
          <w:sz w:val="24"/>
          <w:szCs w:val="24"/>
        </w:rPr>
        <w:t xml:space="preserve"> των κινητών μνημείων»). Επίσης Ψηφιακά έργα μουσείων ή αρχαιολογικών χώρων (υποστήριξη εκθέσεων, νέοι ή αναβαθμισμένοι </w:t>
      </w:r>
      <w:proofErr w:type="spellStart"/>
      <w:r>
        <w:rPr>
          <w:rFonts w:asciiTheme="minorHAnsi" w:hAnsiTheme="minorHAnsi" w:cstheme="minorHAnsi"/>
          <w:sz w:val="24"/>
          <w:szCs w:val="24"/>
        </w:rPr>
        <w:t>ιστότοποι</w:t>
      </w:r>
      <w:proofErr w:type="spellEnd"/>
      <w:r>
        <w:rPr>
          <w:rFonts w:asciiTheme="minorHAnsi" w:hAnsiTheme="minorHAnsi" w:cstheme="minorHAnsi"/>
          <w:sz w:val="24"/>
          <w:szCs w:val="24"/>
        </w:rPr>
        <w:t>, πρόσθετες εφαρμογές ξενάγησης κ.α.), Ψηφιακό σκέλος εκπαιδευτικών προγραμμάτων, Ψηφιακοί πολιτιστικοί / τουριστικοί οδηγοί και εφαρμογές.</w:t>
      </w:r>
    </w:p>
    <w:p w14:paraId="2F1B6760" w14:textId="77777777" w:rsidR="002A2422" w:rsidRDefault="003B3AD7">
      <w:pPr>
        <w:numPr>
          <w:ilvl w:val="0"/>
          <w:numId w:val="9"/>
        </w:numPr>
        <w:suppressAutoHyphens/>
        <w:autoSpaceDN w:val="0"/>
        <w:spacing w:before="60" w:after="60" w:line="324" w:lineRule="auto"/>
        <w:textAlignment w:val="baseline"/>
        <w:rPr>
          <w:rFonts w:asciiTheme="minorHAnsi" w:hAnsiTheme="minorHAnsi" w:cstheme="minorHAnsi"/>
          <w:sz w:val="24"/>
          <w:szCs w:val="24"/>
        </w:rPr>
      </w:pPr>
      <w:r>
        <w:rPr>
          <w:rFonts w:asciiTheme="minorHAnsi" w:hAnsiTheme="minorHAnsi" w:cstheme="minorHAnsi"/>
          <w:sz w:val="24"/>
          <w:szCs w:val="24"/>
        </w:rPr>
        <w:t xml:space="preserve">Η ενίσχυση της ανάπτυξης και της ανταγωνιστικότητας των </w:t>
      </w:r>
      <w:proofErr w:type="spellStart"/>
      <w:r>
        <w:rPr>
          <w:rFonts w:asciiTheme="minorHAnsi" w:hAnsiTheme="minorHAnsi" w:cstheme="minorHAnsi"/>
          <w:sz w:val="24"/>
          <w:szCs w:val="24"/>
        </w:rPr>
        <w:t>ΜμΕ</w:t>
      </w:r>
      <w:proofErr w:type="spellEnd"/>
      <w:r>
        <w:rPr>
          <w:rFonts w:asciiTheme="minorHAnsi" w:hAnsiTheme="minorHAnsi" w:cstheme="minorHAnsi"/>
          <w:sz w:val="24"/>
          <w:szCs w:val="24"/>
        </w:rPr>
        <w:t xml:space="preserve">: Συμμετοχή επαγγελματιών του ΠΔΤ σε ευρύτερες δράσεις Κρατικής Ενίσχυσης των Μικρομεσαίων Επιχειρήσεων μέσω του ΕΠΑΝΕΚ (Ενδεικτικά αναφέρονται οι Δράσεις: «Ενίσχυση της </w:t>
      </w:r>
      <w:proofErr w:type="spellStart"/>
      <w:r>
        <w:rPr>
          <w:rFonts w:asciiTheme="minorHAnsi" w:hAnsiTheme="minorHAnsi" w:cstheme="minorHAnsi"/>
          <w:sz w:val="24"/>
          <w:szCs w:val="24"/>
        </w:rPr>
        <w:t>Αυτοαπασχόλησης</w:t>
      </w:r>
      <w:proofErr w:type="spellEnd"/>
      <w:r>
        <w:rPr>
          <w:rFonts w:asciiTheme="minorHAnsi" w:hAnsiTheme="minorHAnsi" w:cstheme="minorHAnsi"/>
          <w:sz w:val="24"/>
          <w:szCs w:val="24"/>
        </w:rPr>
        <w:t xml:space="preserve"> Πτυχιούχων Τριτοβάθμιας Εκπαίδευσης», «Νεοφυής Επιχειρηματικότητα», «Ποιοτικός Εκσυγχρονισμός», «Αναβάθμιση Πολύ Μικρών &amp; Μικρών Επιχειρήσεων για την Ανάπτυξη των Ικανοτήτων τους στις Νέες Αγορές» και «Εργαλειοθήκη Ανταγωνιστικότητας για Μικρές και Πολύ Μικρές Επιχειρήσεις»).</w:t>
      </w:r>
    </w:p>
    <w:p w14:paraId="4959A325" w14:textId="77777777" w:rsidR="002A2422" w:rsidRDefault="003B3AD7">
      <w:pPr>
        <w:pStyle w:val="ad"/>
        <w:numPr>
          <w:ilvl w:val="0"/>
          <w:numId w:val="9"/>
        </w:numPr>
        <w:suppressAutoHyphens/>
        <w:autoSpaceDN w:val="0"/>
        <w:spacing w:before="60" w:after="60"/>
        <w:contextualSpacing w:val="0"/>
        <w:textAlignment w:val="baseline"/>
        <w:rPr>
          <w:rFonts w:asciiTheme="minorHAnsi" w:hAnsiTheme="minorHAnsi" w:cstheme="minorHAnsi"/>
          <w:sz w:val="24"/>
          <w:szCs w:val="24"/>
        </w:rPr>
      </w:pPr>
      <w:r>
        <w:rPr>
          <w:rFonts w:asciiTheme="minorHAnsi" w:hAnsiTheme="minorHAnsi" w:cstheme="minorHAnsi"/>
          <w:sz w:val="24"/>
          <w:szCs w:val="24"/>
        </w:rPr>
        <w:t xml:space="preserve">Στις </w:t>
      </w:r>
      <w:r>
        <w:rPr>
          <w:rFonts w:asciiTheme="minorHAnsi" w:hAnsiTheme="minorHAnsi" w:cstheme="minorHAnsi"/>
          <w:bCs/>
          <w:sz w:val="24"/>
          <w:szCs w:val="24"/>
        </w:rPr>
        <w:t>εκπαιδευτικές δράσεις</w:t>
      </w:r>
      <w:r>
        <w:rPr>
          <w:rFonts w:asciiTheme="minorHAnsi" w:hAnsiTheme="minorHAnsi" w:cstheme="minorHAnsi"/>
          <w:sz w:val="24"/>
          <w:szCs w:val="24"/>
        </w:rPr>
        <w:t xml:space="preserve"> που συμβάλλουν στον εμπλουτισμό του σχολικού προγράμματος και φέρνουν σε επαφή τους μαθητές της Πρωτοβάθμιας και Δευτεροβάθμιας Εκπαίδευσης με τις Τέχνες και την Πολιτιστική Κληρονομιά (Δράση «Ο Πολιτισμός στο Νέο Σχολείο» – Εκπαίδευση και Δια Βίου Μάθηση).</w:t>
      </w:r>
    </w:p>
    <w:p w14:paraId="0ED4910B" w14:textId="77777777" w:rsidR="002A2422" w:rsidRDefault="003B3AD7">
      <w:pPr>
        <w:pStyle w:val="ad"/>
        <w:numPr>
          <w:ilvl w:val="0"/>
          <w:numId w:val="9"/>
        </w:numPr>
        <w:suppressAutoHyphens/>
        <w:autoSpaceDN w:val="0"/>
        <w:spacing w:before="60" w:after="60"/>
        <w:contextualSpacing w:val="0"/>
        <w:textAlignment w:val="baseline"/>
        <w:rPr>
          <w:rFonts w:asciiTheme="minorHAnsi" w:hAnsiTheme="minorHAnsi" w:cstheme="minorHAnsi"/>
          <w:sz w:val="24"/>
          <w:szCs w:val="24"/>
        </w:rPr>
      </w:pPr>
      <w:r>
        <w:rPr>
          <w:rFonts w:asciiTheme="minorHAnsi" w:hAnsiTheme="minorHAnsi" w:cstheme="minorHAnsi"/>
          <w:sz w:val="24"/>
          <w:szCs w:val="24"/>
        </w:rPr>
        <w:t xml:space="preserve"> Οι δράσεις προστασίας, αποκατάστασης και ανάδειξης μνημείων και αρχαιολογικών χώρων.</w:t>
      </w:r>
    </w:p>
    <w:p w14:paraId="0BCD1B3B" w14:textId="77777777" w:rsidR="002A2422" w:rsidRDefault="003B3AD7">
      <w:pPr>
        <w:pStyle w:val="ad"/>
        <w:numPr>
          <w:ilvl w:val="0"/>
          <w:numId w:val="9"/>
        </w:numPr>
        <w:suppressAutoHyphens/>
        <w:autoSpaceDN w:val="0"/>
        <w:spacing w:before="60" w:after="60"/>
        <w:contextualSpacing w:val="0"/>
        <w:textAlignment w:val="baseline"/>
        <w:rPr>
          <w:rFonts w:asciiTheme="minorHAnsi" w:hAnsiTheme="minorHAnsi" w:cstheme="minorHAnsi"/>
          <w:sz w:val="24"/>
          <w:szCs w:val="24"/>
        </w:rPr>
      </w:pPr>
      <w:r>
        <w:rPr>
          <w:rFonts w:asciiTheme="minorHAnsi" w:hAnsiTheme="minorHAnsi" w:cstheme="minorHAnsi"/>
          <w:sz w:val="24"/>
          <w:szCs w:val="24"/>
        </w:rPr>
        <w:t xml:space="preserve"> Η δημιουργία νέων μουσείων ή ο εκσυγχρονισμός υφιστάμενων.</w:t>
      </w:r>
    </w:p>
    <w:p w14:paraId="569A5DCE" w14:textId="77777777" w:rsidR="002A2422" w:rsidRDefault="003B3AD7">
      <w:pPr>
        <w:pStyle w:val="ad"/>
        <w:numPr>
          <w:ilvl w:val="0"/>
          <w:numId w:val="9"/>
        </w:numPr>
        <w:suppressAutoHyphens/>
        <w:autoSpaceDN w:val="0"/>
        <w:spacing w:before="60" w:after="60"/>
        <w:contextualSpacing w:val="0"/>
        <w:textAlignment w:val="baseline"/>
        <w:rPr>
          <w:rFonts w:asciiTheme="minorHAnsi" w:hAnsiTheme="minorHAnsi" w:cstheme="minorHAnsi"/>
          <w:sz w:val="24"/>
          <w:szCs w:val="24"/>
        </w:rPr>
      </w:pPr>
      <w:r>
        <w:rPr>
          <w:rFonts w:asciiTheme="minorHAnsi" w:hAnsiTheme="minorHAnsi" w:cstheme="minorHAnsi"/>
          <w:sz w:val="24"/>
          <w:szCs w:val="24"/>
        </w:rPr>
        <w:t xml:space="preserve">Οι εκδηλώσεις Σύγχρονου Πολιτισμού / Στήριξη επαναλαμβανόμενων διοργανώσεων που έχουν καταστεί θεσμοί στη συνείδηση του κοινού. (Ενδεικτικά αναφέρονται: Φεστιβάλ Αθηνών και Επιδαύρου, Διεθνές Φεστιβάλ Κινηματογράφου Θεσσαλονίκης, </w:t>
      </w:r>
      <w:r>
        <w:rPr>
          <w:rFonts w:asciiTheme="minorHAnsi" w:hAnsiTheme="minorHAnsi" w:cstheme="minorHAnsi"/>
          <w:sz w:val="24"/>
          <w:szCs w:val="24"/>
        </w:rPr>
        <w:lastRenderedPageBreak/>
        <w:t xml:space="preserve">Διεθνές Φεστιβάλ Χορού Καλαμάτας). Κύριες πηγές χρηματοδότησης   τα ΠΕΠ Αττικής και Κεντρικής Μακεδονίας. </w:t>
      </w:r>
    </w:p>
    <w:p w14:paraId="7B0D8A97" w14:textId="77777777" w:rsidR="002A2422" w:rsidRDefault="002A2422">
      <w:pPr>
        <w:pStyle w:val="Web"/>
        <w:shd w:val="clear" w:color="auto" w:fill="FFFFFF"/>
        <w:spacing w:before="60" w:after="60" w:line="360" w:lineRule="auto"/>
        <w:jc w:val="both"/>
        <w:rPr>
          <w:rFonts w:asciiTheme="minorHAnsi" w:hAnsiTheme="minorHAnsi" w:cstheme="minorHAnsi"/>
          <w:color w:val="000000"/>
        </w:rPr>
      </w:pPr>
    </w:p>
    <w:p w14:paraId="518AAC21" w14:textId="77777777" w:rsidR="002A2422" w:rsidRDefault="002A2422">
      <w:pPr>
        <w:spacing w:before="60" w:after="60"/>
        <w:rPr>
          <w:rFonts w:asciiTheme="minorHAnsi" w:hAnsiTheme="minorHAnsi" w:cstheme="minorHAnsi"/>
          <w:sz w:val="24"/>
          <w:szCs w:val="24"/>
          <w:lang w:eastAsia="en-US"/>
        </w:rPr>
      </w:pPr>
    </w:p>
    <w:p w14:paraId="4FFA4FC5" w14:textId="77777777" w:rsidR="002A2422" w:rsidRDefault="003B3AD7">
      <w:pPr>
        <w:pStyle w:val="3"/>
      </w:pPr>
      <w:bookmarkStart w:id="44" w:name="_Toc73665482"/>
      <w:r>
        <w:t>Τομέας Αθλητισμού</w:t>
      </w:r>
      <w:bookmarkEnd w:id="44"/>
      <w:r>
        <w:t xml:space="preserve"> </w:t>
      </w:r>
    </w:p>
    <w:p w14:paraId="50D313FA" w14:textId="77777777" w:rsidR="002A2422" w:rsidRDefault="003B3AD7">
      <w:pPr>
        <w:rPr>
          <w:rFonts w:asciiTheme="minorHAnsi" w:hAnsiTheme="minorHAnsi" w:cstheme="minorHAnsi"/>
          <w:sz w:val="24"/>
          <w:szCs w:val="24"/>
        </w:rPr>
      </w:pPr>
      <w:r>
        <w:rPr>
          <w:rFonts w:asciiTheme="minorHAnsi" w:hAnsiTheme="minorHAnsi" w:cstheme="minorHAnsi"/>
          <w:sz w:val="24"/>
          <w:szCs w:val="24"/>
        </w:rPr>
        <w:t xml:space="preserve">Στον τομέα αθλητισμού δεδομένου ότι οι δράσεις αθλητισμού δεν είναι επιλέξιμες από το ΕΣΠΑ, έχουμε στοιχεία  για το Εθνικό σκέλος του ΠΔΕ τα οποία συνοπτικά είναι τα παρακάτω: </w:t>
      </w:r>
    </w:p>
    <w:p w14:paraId="4CB24EBD" w14:textId="77777777" w:rsidR="002A2422" w:rsidRDefault="002A2422">
      <w:pPr>
        <w:rPr>
          <w:rFonts w:asciiTheme="minorHAnsi" w:hAnsiTheme="minorHAnsi" w:cstheme="minorHAnsi"/>
          <w:sz w:val="24"/>
          <w:szCs w:val="24"/>
        </w:rPr>
      </w:pPr>
    </w:p>
    <w:p w14:paraId="6F83783B" w14:textId="77777777" w:rsidR="002A2422" w:rsidRDefault="003B3AD7">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5288F569" wp14:editId="6B3B95A2">
            <wp:extent cx="4574540" cy="3274695"/>
            <wp:effectExtent l="0" t="0" r="16510" b="190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574540" cy="3274695"/>
                    </a:xfrm>
                    <a:prstGeom prst="rect">
                      <a:avLst/>
                    </a:prstGeom>
                    <a:noFill/>
                  </pic:spPr>
                </pic:pic>
              </a:graphicData>
            </a:graphic>
          </wp:inline>
        </w:drawing>
      </w:r>
    </w:p>
    <w:p w14:paraId="21A86BE4" w14:textId="77777777" w:rsidR="002A2422" w:rsidRDefault="003B3AD7">
      <w:pPr>
        <w:rPr>
          <w:sz w:val="20"/>
          <w:szCs w:val="20"/>
        </w:rPr>
      </w:pPr>
      <w:r>
        <w:rPr>
          <w:sz w:val="20"/>
          <w:szCs w:val="20"/>
        </w:rPr>
        <w:t>Διάγραμμα 13:</w:t>
      </w:r>
      <w:r>
        <w:rPr>
          <w:b/>
          <w:sz w:val="20"/>
          <w:szCs w:val="20"/>
        </w:rPr>
        <w:t xml:space="preserve"> </w:t>
      </w:r>
      <w:r>
        <w:rPr>
          <w:sz w:val="20"/>
          <w:szCs w:val="20"/>
        </w:rPr>
        <w:t xml:space="preserve">Συνολικός Π/Υ ενταγμένων έργων ΠΔΕ τομέα Αθλητισμού </w:t>
      </w:r>
      <w:r>
        <w:rPr>
          <w:b/>
          <w:bCs/>
          <w:sz w:val="20"/>
          <w:szCs w:val="20"/>
        </w:rPr>
        <w:t>(στοιχεία 05.2021).</w:t>
      </w:r>
    </w:p>
    <w:p w14:paraId="553FD86D" w14:textId="77777777" w:rsidR="002A2422" w:rsidRDefault="002A2422">
      <w:bookmarkStart w:id="45" w:name="_Hlk60905716"/>
    </w:p>
    <w:p w14:paraId="0D5EBC32" w14:textId="77777777" w:rsidR="002A2422" w:rsidRDefault="003B3AD7">
      <w:r>
        <w:rPr>
          <w:noProof/>
        </w:rPr>
        <w:lastRenderedPageBreak/>
        <w:drawing>
          <wp:inline distT="0" distB="0" distL="0" distR="0" wp14:anchorId="67E8558B" wp14:editId="5726B2B3">
            <wp:extent cx="4572635" cy="274320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572635" cy="2743200"/>
                    </a:xfrm>
                    <a:prstGeom prst="rect">
                      <a:avLst/>
                    </a:prstGeom>
                    <a:noFill/>
                  </pic:spPr>
                </pic:pic>
              </a:graphicData>
            </a:graphic>
          </wp:inline>
        </w:drawing>
      </w:r>
    </w:p>
    <w:p w14:paraId="0666818A" w14:textId="77777777" w:rsidR="002A2422" w:rsidRDefault="003B3AD7">
      <w:pPr>
        <w:rPr>
          <w:rFonts w:asciiTheme="minorHAnsi" w:hAnsiTheme="minorHAnsi" w:cstheme="minorHAnsi"/>
        </w:rPr>
      </w:pPr>
      <w:r>
        <w:rPr>
          <w:rFonts w:asciiTheme="minorHAnsi" w:hAnsiTheme="minorHAnsi" w:cstheme="minorHAnsi"/>
        </w:rPr>
        <w:t>Διάγραμμα 14: Συνολικός Π/Υ ενταγμένων έργων ΠΔΕ τομέα Αθλητισμού (στοιχεία 05.2021).</w:t>
      </w:r>
    </w:p>
    <w:p w14:paraId="25844787" w14:textId="77777777" w:rsidR="002A2422" w:rsidRDefault="002A2422"/>
    <w:p w14:paraId="5EB8C8F4" w14:textId="77777777" w:rsidR="002A2422" w:rsidRDefault="002A2422"/>
    <w:p w14:paraId="72021A58" w14:textId="77777777" w:rsidR="002A2422" w:rsidRDefault="003B3AD7">
      <w:r>
        <w:rPr>
          <w:noProof/>
        </w:rPr>
        <w:drawing>
          <wp:inline distT="0" distB="0" distL="0" distR="0" wp14:anchorId="02A26AE0" wp14:editId="2BEAD1CB">
            <wp:extent cx="4572000" cy="274320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a:xfrm>
                      <a:off x="0" y="0"/>
                      <a:ext cx="4572000" cy="2743200"/>
                    </a:xfrm>
                    <a:prstGeom prst="rect">
                      <a:avLst/>
                    </a:prstGeom>
                    <a:noFill/>
                    <a:ln>
                      <a:noFill/>
                    </a:ln>
                  </pic:spPr>
                </pic:pic>
              </a:graphicData>
            </a:graphic>
          </wp:inline>
        </w:drawing>
      </w:r>
    </w:p>
    <w:p w14:paraId="55B99CC6" w14:textId="77777777" w:rsidR="002A2422" w:rsidRDefault="003B3AD7">
      <w:pPr>
        <w:rPr>
          <w:rFonts w:asciiTheme="minorHAnsi" w:hAnsiTheme="minorHAnsi" w:cstheme="minorHAnsi"/>
          <w:b/>
          <w:bCs/>
        </w:rPr>
      </w:pPr>
      <w:r>
        <w:rPr>
          <w:rFonts w:asciiTheme="minorHAnsi" w:hAnsiTheme="minorHAnsi" w:cstheme="minorHAnsi"/>
        </w:rPr>
        <w:t xml:space="preserve">Διάγραμμα 15: Πληρωμές 2020- 2021 - ενταγμένων έργων ΠΔΕ τομέα Αθλητισμού </w:t>
      </w:r>
      <w:r>
        <w:rPr>
          <w:rFonts w:asciiTheme="minorHAnsi" w:hAnsiTheme="minorHAnsi" w:cstheme="minorHAnsi"/>
          <w:b/>
          <w:bCs/>
        </w:rPr>
        <w:t>(στοιχεία 05.2021).</w:t>
      </w:r>
    </w:p>
    <w:p w14:paraId="4CC04D0B" w14:textId="77777777" w:rsidR="002A2422" w:rsidRDefault="002A2422">
      <w:pPr>
        <w:rPr>
          <w:rFonts w:asciiTheme="minorHAnsi" w:hAnsiTheme="minorHAnsi" w:cstheme="minorHAnsi"/>
        </w:rPr>
      </w:pPr>
    </w:p>
    <w:p w14:paraId="0858752B" w14:textId="77777777" w:rsidR="002A2422" w:rsidRDefault="003B3AD7">
      <w:pPr>
        <w:rPr>
          <w:rFonts w:asciiTheme="minorHAnsi" w:hAnsiTheme="minorHAnsi" w:cstheme="minorHAnsi"/>
        </w:rPr>
      </w:pPr>
      <w:r>
        <w:rPr>
          <w:rFonts w:asciiTheme="minorHAnsi" w:hAnsiTheme="minorHAnsi" w:cstheme="minorHAnsi"/>
          <w:noProof/>
        </w:rPr>
        <w:lastRenderedPageBreak/>
        <w:drawing>
          <wp:inline distT="0" distB="0" distL="0" distR="0" wp14:anchorId="6A7F17FC" wp14:editId="28C81B14">
            <wp:extent cx="4572635" cy="274320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572635" cy="2743200"/>
                    </a:xfrm>
                    <a:prstGeom prst="rect">
                      <a:avLst/>
                    </a:prstGeom>
                    <a:noFill/>
                  </pic:spPr>
                </pic:pic>
              </a:graphicData>
            </a:graphic>
          </wp:inline>
        </w:drawing>
      </w:r>
      <w:r>
        <w:rPr>
          <w:rFonts w:asciiTheme="minorHAnsi" w:hAnsiTheme="minorHAnsi" w:cstheme="minorHAnsi"/>
        </w:rPr>
        <w:t xml:space="preserve"> </w:t>
      </w:r>
    </w:p>
    <w:p w14:paraId="4493A1C0" w14:textId="77777777" w:rsidR="002A2422" w:rsidRDefault="003B3AD7">
      <w:pPr>
        <w:rPr>
          <w:sz w:val="20"/>
          <w:szCs w:val="20"/>
        </w:rPr>
      </w:pPr>
      <w:r>
        <w:rPr>
          <w:sz w:val="20"/>
          <w:szCs w:val="20"/>
        </w:rPr>
        <w:t xml:space="preserve">Διάγραμμα 16: Πιστώσεις 2021 - ενταγμένων έργων ΠΔΕ τομέα Αθλητισμού </w:t>
      </w:r>
      <w:r>
        <w:rPr>
          <w:b/>
          <w:bCs/>
          <w:sz w:val="20"/>
          <w:szCs w:val="20"/>
        </w:rPr>
        <w:t>(στοιχεία 05.2021).</w:t>
      </w:r>
    </w:p>
    <w:p w14:paraId="6EB12641" w14:textId="77777777" w:rsidR="002A2422" w:rsidRDefault="002A2422"/>
    <w:p w14:paraId="1D156DD9" w14:textId="77777777" w:rsidR="002A2422" w:rsidRDefault="002A2422"/>
    <w:p w14:paraId="5A23D667" w14:textId="77777777" w:rsidR="002A2422" w:rsidRDefault="002A2422">
      <w:pPr>
        <w:rPr>
          <w:rFonts w:asciiTheme="minorHAnsi" w:hAnsiTheme="minorHAnsi" w:cstheme="minorHAnsi"/>
        </w:rPr>
      </w:pPr>
    </w:p>
    <w:p w14:paraId="2BE50C94" w14:textId="77777777" w:rsidR="002A2422" w:rsidRDefault="002A2422"/>
    <w:p w14:paraId="0D205778" w14:textId="77777777" w:rsidR="002A2422" w:rsidRDefault="002A2422"/>
    <w:p w14:paraId="2CC857EF" w14:textId="77777777" w:rsidR="002A2422" w:rsidRDefault="002A2422"/>
    <w:bookmarkEnd w:id="45"/>
    <w:p w14:paraId="1CE22E4A" w14:textId="77777777" w:rsidR="002A2422" w:rsidRDefault="002A2422">
      <w:pPr>
        <w:rPr>
          <w:rFonts w:asciiTheme="minorHAnsi" w:hAnsiTheme="minorHAnsi" w:cstheme="minorHAnsi"/>
          <w:sz w:val="24"/>
          <w:szCs w:val="24"/>
          <w:lang w:eastAsia="en-US"/>
        </w:rPr>
      </w:pPr>
    </w:p>
    <w:p w14:paraId="2C1684C8" w14:textId="77777777" w:rsidR="002A2422" w:rsidRDefault="002A2422">
      <w:pPr>
        <w:rPr>
          <w:rFonts w:asciiTheme="minorHAnsi" w:hAnsiTheme="minorHAnsi" w:cstheme="minorHAnsi"/>
          <w:sz w:val="24"/>
          <w:szCs w:val="24"/>
          <w:lang w:eastAsia="en-US"/>
        </w:rPr>
      </w:pPr>
    </w:p>
    <w:p w14:paraId="76F0B376" w14:textId="77777777" w:rsidR="002A2422" w:rsidRDefault="002A2422">
      <w:pPr>
        <w:rPr>
          <w:rFonts w:asciiTheme="minorHAnsi" w:hAnsiTheme="minorHAnsi" w:cstheme="minorHAnsi"/>
          <w:sz w:val="24"/>
          <w:szCs w:val="24"/>
          <w:lang w:eastAsia="en-US"/>
        </w:rPr>
      </w:pPr>
    </w:p>
    <w:p w14:paraId="0B21A8A9" w14:textId="77777777" w:rsidR="002A2422" w:rsidRDefault="003B3AD7">
      <w:pPr>
        <w:pStyle w:val="1"/>
      </w:pPr>
      <w:bookmarkStart w:id="46" w:name="_Toc68011197"/>
      <w:bookmarkStart w:id="47" w:name="_Toc73665483"/>
      <w:r>
        <w:t>Η ΑΝΑΠΤΥΞΙΑΚΗ ΣΤΡΑΤΗΓΙΚΗ ΓΙΑ ΤΗΝ ΠΕΡΙΟΔΟ 2021-2025</w:t>
      </w:r>
      <w:bookmarkEnd w:id="46"/>
      <w:bookmarkEnd w:id="47"/>
    </w:p>
    <w:p w14:paraId="2550195D" w14:textId="77777777" w:rsidR="002A2422" w:rsidRDefault="003B3AD7">
      <w:pPr>
        <w:pStyle w:val="2"/>
      </w:pPr>
      <w:bookmarkStart w:id="48" w:name="_Toc73665484"/>
      <w:bookmarkStart w:id="49" w:name="_Toc68011198"/>
      <w:r>
        <w:t>Ανάλυση Στρατηγικής ΥΠΠΟΑ 2021 – 2025</w:t>
      </w:r>
      <w:bookmarkEnd w:id="48"/>
      <w:bookmarkEnd w:id="49"/>
      <w:r>
        <w:t xml:space="preserve"> </w:t>
      </w:r>
    </w:p>
    <w:p w14:paraId="0CE9C095" w14:textId="77777777" w:rsidR="002A2422" w:rsidRDefault="003B3AD7">
      <w:p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 xml:space="preserve">Η στρατηγική και οι στόχοι του ΥΠΠΟΑ  πρέπει να βρίσκονται σε αρμονία με την Αποστολή και το Όραμά του. Για την περίοδο 2021 – 2025, η στρατηγική του ΥΠΠΟΑ υπηρετεί: </w:t>
      </w:r>
    </w:p>
    <w:p w14:paraId="7E8DC5A7" w14:textId="77777777" w:rsidR="002A2422" w:rsidRDefault="003B3AD7">
      <w:pPr>
        <w:pStyle w:val="ad"/>
        <w:numPr>
          <w:ilvl w:val="0"/>
          <w:numId w:val="10"/>
        </w:num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 xml:space="preserve"> την  προστασία και ανάδειξη της πολιτιστικής κληρονομιάς και της σύγχρονης δημιουργίας, την ενίσχυση της πολιτιστικής και δημιουργικής οικονομίας ως βασικού πυλώνα ανάπτυξης, </w:t>
      </w:r>
    </w:p>
    <w:p w14:paraId="1FE49A58" w14:textId="77777777" w:rsidR="002A2422" w:rsidRDefault="003B3AD7">
      <w:pPr>
        <w:pStyle w:val="ad"/>
        <w:numPr>
          <w:ilvl w:val="0"/>
          <w:numId w:val="10"/>
        </w:num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τη συμβολή του πολιτισμού στην οικονομική και κοινωνική ανάπτυξη της Χώρας καθώς και  την ενδυνάμωση των διακρατικών συνεργασιών  με απώτερο στόχο την  ανάδειξη της Ελλάδας ως διεθνούς πολιτιστικού πόλου.</w:t>
      </w:r>
    </w:p>
    <w:p w14:paraId="2001F36B" w14:textId="77777777" w:rsidR="002A2422" w:rsidRDefault="003B3AD7">
      <w:p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Οι βασικές στρατηγικές κατευθύνσεις του Υπουργείου Πολιτισμού και Αθλητισμού  προέκυψαν από τη συνδυαστική ανάλυση του εσωτερικού και εξωτερικού του περιβάλλοντος. Στους βασικούς στόχους και επιδιώξεις του ΥΠΠΟΑ συμπεριλαμβάνονται:</w:t>
      </w:r>
    </w:p>
    <w:p w14:paraId="05E4145C" w14:textId="77777777" w:rsidR="002A2422" w:rsidRDefault="003B3AD7">
      <w:pPr>
        <w:numPr>
          <w:ilvl w:val="0"/>
          <w:numId w:val="11"/>
        </w:numPr>
        <w:spacing w:before="60" w:after="60"/>
        <w:rPr>
          <w:rFonts w:asciiTheme="minorHAnsi" w:eastAsia="Calibri" w:hAnsiTheme="minorHAnsi" w:cstheme="minorHAnsi"/>
          <w:sz w:val="24"/>
          <w:szCs w:val="24"/>
        </w:rPr>
      </w:pPr>
      <w:r>
        <w:rPr>
          <w:rFonts w:asciiTheme="minorHAnsi" w:eastAsia="Calibri" w:hAnsiTheme="minorHAnsi" w:cstheme="minorHAnsi"/>
          <w:i/>
          <w:iCs/>
          <w:sz w:val="24"/>
          <w:szCs w:val="24"/>
        </w:rPr>
        <w:lastRenderedPageBreak/>
        <w:t>Η προαγωγή της επιστημονικής έρευνας, η διαφύλαξη, η προστασία, η ανάδειξη και η προβολή του συνόλου της πολιτιστικής κληρονομιάς (υλικής και άυλης, κινητής και ακίνητης),</w:t>
      </w:r>
    </w:p>
    <w:p w14:paraId="19EDC1A6" w14:textId="77777777" w:rsidR="002A2422" w:rsidRDefault="003B3AD7">
      <w:pPr>
        <w:numPr>
          <w:ilvl w:val="0"/>
          <w:numId w:val="11"/>
        </w:numPr>
        <w:spacing w:before="60" w:after="60"/>
        <w:rPr>
          <w:rFonts w:asciiTheme="minorHAnsi" w:eastAsia="Calibri" w:hAnsiTheme="minorHAnsi" w:cstheme="minorHAnsi"/>
          <w:sz w:val="24"/>
          <w:szCs w:val="24"/>
        </w:rPr>
      </w:pPr>
      <w:r>
        <w:rPr>
          <w:rFonts w:asciiTheme="minorHAnsi" w:eastAsia="Calibri" w:hAnsiTheme="minorHAnsi" w:cstheme="minorHAnsi"/>
          <w:i/>
          <w:iCs/>
          <w:sz w:val="24"/>
          <w:szCs w:val="24"/>
        </w:rPr>
        <w:t xml:space="preserve"> η ενθάρρυνση των διεθνών συνεργασιών για θέματα διαχείρισης και προστασίας της πολιτιστικής κληρονομιάς,</w:t>
      </w:r>
    </w:p>
    <w:p w14:paraId="512AC7EF" w14:textId="77777777" w:rsidR="002A2422" w:rsidRDefault="003B3AD7">
      <w:pPr>
        <w:numPr>
          <w:ilvl w:val="0"/>
          <w:numId w:val="11"/>
        </w:numPr>
        <w:spacing w:before="60" w:after="60"/>
        <w:rPr>
          <w:rFonts w:asciiTheme="minorHAnsi" w:eastAsia="Calibri" w:hAnsiTheme="minorHAnsi" w:cstheme="minorHAnsi"/>
          <w:sz w:val="24"/>
          <w:szCs w:val="24"/>
        </w:rPr>
      </w:pPr>
      <w:r>
        <w:rPr>
          <w:rFonts w:asciiTheme="minorHAnsi" w:eastAsia="Calibri" w:hAnsiTheme="minorHAnsi" w:cstheme="minorHAnsi"/>
          <w:i/>
          <w:iCs/>
          <w:sz w:val="24"/>
          <w:szCs w:val="24"/>
        </w:rPr>
        <w:t>η ανάπτυξη  της σύγχρονης ελληνικής πολιτιστικής δημιουργίας, η στήριξη του πολιτιστικού και δημιουργικού τομέα ως βασικού αναπτυξιακού μοχλού της χώρας,</w:t>
      </w:r>
    </w:p>
    <w:p w14:paraId="7144F25D" w14:textId="77777777" w:rsidR="002A2422" w:rsidRDefault="003B3AD7">
      <w:pPr>
        <w:numPr>
          <w:ilvl w:val="0"/>
          <w:numId w:val="11"/>
        </w:numPr>
        <w:spacing w:before="60" w:after="60"/>
        <w:rPr>
          <w:rFonts w:asciiTheme="minorHAnsi" w:eastAsia="Calibri" w:hAnsiTheme="minorHAnsi" w:cstheme="minorHAnsi"/>
          <w:sz w:val="24"/>
          <w:szCs w:val="24"/>
        </w:rPr>
      </w:pPr>
      <w:r>
        <w:rPr>
          <w:rFonts w:asciiTheme="minorHAnsi" w:eastAsia="Calibri" w:hAnsiTheme="minorHAnsi" w:cstheme="minorHAnsi"/>
          <w:i/>
          <w:iCs/>
          <w:sz w:val="24"/>
          <w:szCs w:val="24"/>
        </w:rPr>
        <w:t>η μεγιστοποίηση της πρόσβασης του συνόλου των πολιτών στον πολιτισμό,</w:t>
      </w:r>
    </w:p>
    <w:p w14:paraId="7D12D21E" w14:textId="77777777" w:rsidR="002A2422" w:rsidRDefault="003B3AD7">
      <w:pPr>
        <w:numPr>
          <w:ilvl w:val="0"/>
          <w:numId w:val="11"/>
        </w:numPr>
        <w:spacing w:before="60" w:after="60"/>
        <w:rPr>
          <w:rFonts w:asciiTheme="minorHAnsi" w:eastAsia="Calibri" w:hAnsiTheme="minorHAnsi" w:cstheme="minorHAnsi"/>
          <w:sz w:val="24"/>
          <w:szCs w:val="24"/>
        </w:rPr>
      </w:pPr>
      <w:r>
        <w:rPr>
          <w:rFonts w:asciiTheme="minorHAnsi" w:eastAsia="Calibri" w:hAnsiTheme="minorHAnsi" w:cstheme="minorHAnsi"/>
          <w:i/>
          <w:iCs/>
          <w:sz w:val="24"/>
          <w:szCs w:val="24"/>
        </w:rPr>
        <w:t>η ευαισθητοποίηση των πολιτών για την προστασία του πολιτιστικού αποθέματος,</w:t>
      </w:r>
    </w:p>
    <w:p w14:paraId="5613BE4F" w14:textId="77777777" w:rsidR="002A2422" w:rsidRDefault="003B3AD7">
      <w:pPr>
        <w:numPr>
          <w:ilvl w:val="0"/>
          <w:numId w:val="11"/>
        </w:numPr>
        <w:spacing w:before="60" w:after="60"/>
        <w:rPr>
          <w:rFonts w:asciiTheme="minorHAnsi" w:eastAsia="Calibri" w:hAnsiTheme="minorHAnsi" w:cstheme="minorHAnsi"/>
          <w:i/>
          <w:iCs/>
          <w:sz w:val="24"/>
          <w:szCs w:val="24"/>
        </w:rPr>
      </w:pPr>
      <w:r>
        <w:rPr>
          <w:rFonts w:asciiTheme="minorHAnsi" w:eastAsia="Calibri" w:hAnsiTheme="minorHAnsi" w:cstheme="minorHAnsi"/>
          <w:i/>
          <w:iCs/>
          <w:sz w:val="24"/>
          <w:szCs w:val="24"/>
        </w:rPr>
        <w:t xml:space="preserve"> η χρήση ψηφιακών μέσων για τη διάδοση και προβολή του πολιτιστικού αποθέματος της χώρας, </w:t>
      </w:r>
    </w:p>
    <w:p w14:paraId="4E78CED0" w14:textId="77777777" w:rsidR="002A2422" w:rsidRDefault="003B3AD7">
      <w:pPr>
        <w:numPr>
          <w:ilvl w:val="0"/>
          <w:numId w:val="11"/>
        </w:numPr>
        <w:spacing w:before="60" w:after="60"/>
        <w:rPr>
          <w:rFonts w:asciiTheme="minorHAnsi" w:eastAsia="Calibri" w:hAnsiTheme="minorHAnsi" w:cstheme="minorHAnsi"/>
          <w:i/>
          <w:iCs/>
          <w:sz w:val="24"/>
          <w:szCs w:val="24"/>
        </w:rPr>
      </w:pPr>
      <w:r>
        <w:rPr>
          <w:rFonts w:asciiTheme="minorHAnsi" w:eastAsia="Calibri" w:hAnsiTheme="minorHAnsi" w:cstheme="minorHAnsi"/>
          <w:i/>
          <w:iCs/>
          <w:sz w:val="24"/>
          <w:szCs w:val="24"/>
        </w:rPr>
        <w:t xml:space="preserve"> η αξιοποίηση του πολιτισμού ως μηχανισμού εξωστρέφειας για την ενίσχυση της εικόνας της χώρας στον κόσμο,</w:t>
      </w:r>
    </w:p>
    <w:p w14:paraId="0BA2F3E8" w14:textId="77777777" w:rsidR="002A2422" w:rsidRDefault="003B3AD7">
      <w:pPr>
        <w:numPr>
          <w:ilvl w:val="0"/>
          <w:numId w:val="11"/>
        </w:numPr>
        <w:spacing w:before="60" w:after="60"/>
        <w:rPr>
          <w:rFonts w:asciiTheme="minorHAnsi" w:eastAsia="Calibri" w:hAnsiTheme="minorHAnsi" w:cstheme="minorHAnsi"/>
          <w:i/>
          <w:iCs/>
          <w:sz w:val="24"/>
          <w:szCs w:val="24"/>
        </w:rPr>
      </w:pPr>
      <w:r>
        <w:rPr>
          <w:rFonts w:asciiTheme="minorHAnsi" w:eastAsia="Calibri" w:hAnsiTheme="minorHAnsi" w:cstheme="minorHAnsi"/>
          <w:i/>
          <w:iCs/>
          <w:sz w:val="24"/>
          <w:szCs w:val="24"/>
        </w:rPr>
        <w:t xml:space="preserve">η πρόληψη και διασφάλιση της υγείας του αθλητή και του </w:t>
      </w:r>
      <w:proofErr w:type="spellStart"/>
      <w:r>
        <w:rPr>
          <w:rFonts w:asciiTheme="minorHAnsi" w:eastAsia="Calibri" w:hAnsiTheme="minorHAnsi" w:cstheme="minorHAnsi"/>
          <w:i/>
          <w:iCs/>
          <w:sz w:val="24"/>
          <w:szCs w:val="24"/>
        </w:rPr>
        <w:t>αθλουμένου</w:t>
      </w:r>
      <w:proofErr w:type="spellEnd"/>
    </w:p>
    <w:p w14:paraId="0573C5CE" w14:textId="77777777" w:rsidR="002A2422" w:rsidRDefault="003B3AD7">
      <w:pPr>
        <w:numPr>
          <w:ilvl w:val="0"/>
          <w:numId w:val="11"/>
        </w:numPr>
        <w:spacing w:before="60" w:after="60"/>
        <w:rPr>
          <w:rFonts w:asciiTheme="minorHAnsi" w:eastAsia="Calibri" w:hAnsiTheme="minorHAnsi" w:cstheme="minorHAnsi"/>
          <w:i/>
          <w:iCs/>
          <w:sz w:val="24"/>
          <w:szCs w:val="24"/>
        </w:rPr>
      </w:pPr>
      <w:r>
        <w:rPr>
          <w:rFonts w:asciiTheme="minorHAnsi" w:eastAsia="Calibri" w:hAnsiTheme="minorHAnsi" w:cstheme="minorHAnsi"/>
          <w:i/>
          <w:iCs/>
          <w:sz w:val="24"/>
          <w:szCs w:val="24"/>
        </w:rPr>
        <w:t>η συστηματική καλλιέργεια, διάδοση και εμπέδωση στην κοινωνική συνείδηση του αθλητικού πνεύματος και των αξιών του Ολυμπισμού και η διάδοσή τους σε εθνικό και διεθνές επίπεδο με κάθε πρόσφορο μέσο,</w:t>
      </w:r>
    </w:p>
    <w:p w14:paraId="45781DFE" w14:textId="77777777" w:rsidR="002A2422" w:rsidRDefault="003B3AD7">
      <w:pPr>
        <w:numPr>
          <w:ilvl w:val="0"/>
          <w:numId w:val="11"/>
        </w:numPr>
        <w:spacing w:before="60" w:after="60"/>
        <w:rPr>
          <w:rFonts w:asciiTheme="minorHAnsi" w:eastAsia="Calibri" w:hAnsiTheme="minorHAnsi" w:cstheme="minorHAnsi"/>
          <w:i/>
          <w:iCs/>
          <w:sz w:val="24"/>
          <w:szCs w:val="24"/>
        </w:rPr>
      </w:pPr>
      <w:r>
        <w:rPr>
          <w:rFonts w:asciiTheme="minorHAnsi" w:eastAsia="Calibri" w:hAnsiTheme="minorHAnsi" w:cstheme="minorHAnsi"/>
          <w:i/>
          <w:iCs/>
          <w:sz w:val="24"/>
          <w:szCs w:val="24"/>
        </w:rPr>
        <w:t>η επιστημονική τεκμηρίωση των αθλητικών αναγκών της χώρας και η αποτύπωσή τους σε στρατηγική αθλητική πολιτική που εφαρμόζεται με επιχειρησιακά προγράμματα δράσεις, ενέργειες και έργα,</w:t>
      </w:r>
    </w:p>
    <w:p w14:paraId="2C236EEB" w14:textId="77777777" w:rsidR="002A2422" w:rsidRDefault="003B3AD7">
      <w:pPr>
        <w:numPr>
          <w:ilvl w:val="0"/>
          <w:numId w:val="11"/>
        </w:numPr>
        <w:spacing w:before="60" w:after="60"/>
        <w:rPr>
          <w:rFonts w:asciiTheme="minorHAnsi" w:hAnsiTheme="minorHAnsi" w:cstheme="minorHAnsi"/>
          <w:sz w:val="24"/>
          <w:szCs w:val="24"/>
        </w:rPr>
      </w:pPr>
      <w:r>
        <w:rPr>
          <w:rFonts w:asciiTheme="minorHAnsi" w:eastAsia="Calibri" w:hAnsiTheme="minorHAnsi" w:cstheme="minorHAnsi"/>
          <w:i/>
          <w:iCs/>
          <w:sz w:val="24"/>
          <w:szCs w:val="24"/>
        </w:rPr>
        <w:t>η θεσμική, επιστημονική, υλικοτεχνική και οικονομική στήριξη των εποπτευομένων δημοσίων και ιδιωτικών  αθλητικών φορέων, ώστε να εξασφαλίζεται αποτελεσματικότητα, αποδοτικότητα και ποιότητα στο παραγόμενο αθλητικό έργο τους,</w:t>
      </w:r>
    </w:p>
    <w:p w14:paraId="6662F872" w14:textId="77777777" w:rsidR="002A2422" w:rsidRDefault="003B3AD7">
      <w:pPr>
        <w:numPr>
          <w:ilvl w:val="0"/>
          <w:numId w:val="11"/>
        </w:numPr>
        <w:spacing w:before="60" w:after="60"/>
        <w:rPr>
          <w:rFonts w:asciiTheme="minorHAnsi" w:hAnsiTheme="minorHAnsi" w:cstheme="minorHAnsi"/>
          <w:sz w:val="24"/>
          <w:szCs w:val="24"/>
        </w:rPr>
      </w:pPr>
      <w:r>
        <w:rPr>
          <w:rFonts w:asciiTheme="minorHAnsi" w:eastAsia="Calibri" w:hAnsiTheme="minorHAnsi" w:cstheme="minorHAnsi"/>
          <w:i/>
          <w:iCs/>
          <w:sz w:val="24"/>
          <w:szCs w:val="24"/>
        </w:rPr>
        <w:t xml:space="preserve">η εποπτεία και ο έλεγχος των πάσης φύσεως προσώπων ή φορέων που </w:t>
      </w:r>
      <w:proofErr w:type="spellStart"/>
      <w:r>
        <w:rPr>
          <w:rFonts w:asciiTheme="minorHAnsi" w:eastAsia="Calibri" w:hAnsiTheme="minorHAnsi" w:cstheme="minorHAnsi"/>
          <w:i/>
          <w:iCs/>
          <w:sz w:val="24"/>
          <w:szCs w:val="24"/>
        </w:rPr>
        <w:t>διέπονται</w:t>
      </w:r>
      <w:proofErr w:type="spellEnd"/>
      <w:r>
        <w:rPr>
          <w:rFonts w:asciiTheme="minorHAnsi" w:eastAsia="Calibri" w:hAnsiTheme="minorHAnsi" w:cstheme="minorHAnsi"/>
          <w:i/>
          <w:iCs/>
          <w:sz w:val="24"/>
          <w:szCs w:val="24"/>
        </w:rPr>
        <w:t xml:space="preserve"> από την αθλητική πολιτική της χώρας σύμφωνα με τις εκάστοτε ισχύουσες διατάξεις.</w:t>
      </w:r>
    </w:p>
    <w:p w14:paraId="7DE22DC3" w14:textId="77777777" w:rsidR="002A2422" w:rsidRDefault="002A2422">
      <w:pPr>
        <w:spacing w:before="60" w:after="60"/>
        <w:rPr>
          <w:rFonts w:asciiTheme="minorHAnsi" w:hAnsiTheme="minorHAnsi" w:cstheme="minorHAnsi"/>
          <w:sz w:val="24"/>
          <w:szCs w:val="24"/>
        </w:rPr>
      </w:pPr>
    </w:p>
    <w:p w14:paraId="690297CF"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Η εξειδίκευση της Στρατηγικής του ΥΠΠΟΑ μπορεί ενδεικτικά και όχι περιοριστικά να περιλαμβάνει: </w:t>
      </w:r>
    </w:p>
    <w:p w14:paraId="2386D7B6" w14:textId="77777777" w:rsidR="002A2422" w:rsidRDefault="003B3AD7">
      <w:pPr>
        <w:pStyle w:val="ad"/>
        <w:numPr>
          <w:ilvl w:val="0"/>
          <w:numId w:val="12"/>
        </w:num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την ενίσχυση της  πολιτιστικής και δημιουργικής οικονομίας ως βασικού πυλώνα ανάπτυξης.</w:t>
      </w:r>
    </w:p>
    <w:p w14:paraId="070E3018" w14:textId="77777777" w:rsidR="002A2422" w:rsidRDefault="003B3AD7">
      <w:p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 xml:space="preserve">Αποτελεί έναν βασικό τομέα που δεν έχει τύχει της ανάλογης προσοχής διαχρονικά από την Πολιτεία και που μπορεί να δώσει μεγάλη προστιθέμενη αξία στην ανάπτυξη της χώρας. </w:t>
      </w:r>
      <w:r>
        <w:rPr>
          <w:rFonts w:asciiTheme="minorHAnsi" w:eastAsia="Calibri" w:hAnsiTheme="minorHAnsi" w:cstheme="minorHAnsi"/>
          <w:sz w:val="24"/>
          <w:szCs w:val="24"/>
        </w:rPr>
        <w:lastRenderedPageBreak/>
        <w:t xml:space="preserve">Συνδυαστικά, θα πρέπει να γίνει και η </w:t>
      </w:r>
      <w:proofErr w:type="spellStart"/>
      <w:r>
        <w:rPr>
          <w:rFonts w:asciiTheme="minorHAnsi" w:eastAsia="Calibri" w:hAnsiTheme="minorHAnsi" w:cstheme="minorHAnsi"/>
          <w:sz w:val="24"/>
          <w:szCs w:val="24"/>
        </w:rPr>
        <w:t>στοχευμένη</w:t>
      </w:r>
      <w:proofErr w:type="spellEnd"/>
      <w:r>
        <w:rPr>
          <w:rFonts w:asciiTheme="minorHAnsi" w:eastAsia="Calibri" w:hAnsiTheme="minorHAnsi" w:cstheme="minorHAnsi"/>
          <w:sz w:val="24"/>
          <w:szCs w:val="24"/>
        </w:rPr>
        <w:t xml:space="preserve"> ανάπτυξη και ενδυνάμωση δεξιοτήτων εργαζομένων στις πολιτιστικές και δημιουργικές βιομηχανίες. </w:t>
      </w:r>
    </w:p>
    <w:p w14:paraId="4657CD6E" w14:textId="77777777" w:rsidR="002A2422" w:rsidRDefault="003B3AD7">
      <w:pPr>
        <w:pStyle w:val="ad"/>
        <w:numPr>
          <w:ilvl w:val="0"/>
          <w:numId w:val="12"/>
        </w:num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τη  μετάβαση στην ψηφιακή εποχή των  πολιτιστικών υπηρεσιών και οργανισμών και τη δημιουργία  εναλλακτικών καναλιών πολιτιστικής παραγωγής και διάθεσης.</w:t>
      </w:r>
    </w:p>
    <w:p w14:paraId="3170BE18" w14:textId="77777777" w:rsidR="002A2422" w:rsidRDefault="003B3AD7">
      <w:p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 xml:space="preserve">Η ψηφιακή διάσταση της ελληνικής  καλλιτεχνικής δημιουργίας με δεδομένη και την πληθώρα μέσων  προβολής μπορεί να βελτιώσει σημαντικά  τις παρεχόμενες υπηρεσίες στον τομέα και να παράγει περιεχόμενο υψηλού καλλιτεχνικού κύρους, με μεγάλη απήχηση στο ευρύ κοινό - ελληνικό και παγκόσμιο. </w:t>
      </w:r>
    </w:p>
    <w:p w14:paraId="4D395CFC" w14:textId="77777777" w:rsidR="002A2422" w:rsidRDefault="003B3AD7">
      <w:pPr>
        <w:pStyle w:val="ad"/>
        <w:numPr>
          <w:ilvl w:val="0"/>
          <w:numId w:val="12"/>
        </w:num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 xml:space="preserve">Επιπλέον, άλλα σημαντικά θέματα, όπως η δημιουργία μηχανισμών καταπολέμησης της πειρατείας με ψηφιακά μέσα, η ολοκλήρωση του ρυθμιστικού πλαισίου για την   προστασία της πνευματικής ιδιοκτησίας, η βελτίωση και ο εκσυγχρονισμός της  πολιτιστικής και καλλιτεχνικής εκπαίδευσης αλλά και η δημιουργία μόνιμου μηχανισμού στήριξης των δομών σύγχρονου πολιτισμού για την πρόσβαση σε χρηματοδοτικά εργαλεία,  μπορεί να βοηθήσει σημαντικά τον χώρο του Σύγχρονου Πολιτισμού. </w:t>
      </w:r>
    </w:p>
    <w:p w14:paraId="2CB10737" w14:textId="77777777" w:rsidR="002A2422" w:rsidRDefault="003B3AD7">
      <w:pPr>
        <w:pStyle w:val="ad"/>
        <w:numPr>
          <w:ilvl w:val="0"/>
          <w:numId w:val="12"/>
        </w:num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 xml:space="preserve">Στον τομέα του αθλητισμού η στρατηγική του ΥΠΠΟΑ περιλαμβάνει την προώθηση του αθλητικού τουρισμού, η ανάπτυξη του οποίου μπορεί να καταστήσει τη χώρα πόλο έλξης φιλάθλων από όλον τον κόσμο, ιδιαίτερα μέσω της διοργάνωσης αθλητικών εκδηλώσεων σε σύγχρονες υποδομές, γεγονός που θα ενδυναμώσει τις τοπικές οικονομίες και την απασχόληση. </w:t>
      </w:r>
    </w:p>
    <w:p w14:paraId="1E6E9064" w14:textId="77777777" w:rsidR="002A2422" w:rsidRDefault="002A2422">
      <w:pPr>
        <w:pStyle w:val="ad"/>
        <w:spacing w:before="60" w:after="60"/>
        <w:ind w:left="360"/>
        <w:rPr>
          <w:rFonts w:asciiTheme="minorHAnsi" w:eastAsia="Calibri" w:hAnsiTheme="minorHAnsi" w:cstheme="minorHAnsi"/>
          <w:sz w:val="24"/>
          <w:szCs w:val="24"/>
        </w:rPr>
      </w:pPr>
    </w:p>
    <w:p w14:paraId="12A603C7" w14:textId="77777777" w:rsidR="002A2422" w:rsidRDefault="003B3AD7">
      <w:pPr>
        <w:spacing w:before="60" w:after="60"/>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Άλλα σημαντικά ζητήματα στρατηγικής του ΥΠΠΟΑ περιλαμβάνουν: </w:t>
      </w:r>
    </w:p>
    <w:p w14:paraId="05EBACA8" w14:textId="77777777" w:rsidR="002A2422" w:rsidRDefault="003B3AD7">
      <w:pPr>
        <w:pStyle w:val="ad"/>
        <w:numPr>
          <w:ilvl w:val="0"/>
          <w:numId w:val="12"/>
        </w:num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Την αναβάθμιση του δημόσιου χώρου και τη βελτιωμένη πρόσβαση σε πολιτιστικές δραστηριότητες,</w:t>
      </w:r>
    </w:p>
    <w:p w14:paraId="3D4B67D2" w14:textId="77777777" w:rsidR="002A2422" w:rsidRDefault="003B3AD7">
      <w:pPr>
        <w:pStyle w:val="ad"/>
        <w:numPr>
          <w:ilvl w:val="0"/>
          <w:numId w:val="12"/>
        </w:num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 xml:space="preserve">την  αναβάθμιση της εμπειρίας των επισκεπτών σε μουσεία, χώρους πολιτισμού και μνημεία, μέσω της ψηφιακής τεχνολογίας αλλά και διασύνδεσής τους με τη σύγχρονη δημιουργία,  με στόχο την αύξηση της </w:t>
      </w:r>
      <w:proofErr w:type="spellStart"/>
      <w:r>
        <w:rPr>
          <w:rFonts w:asciiTheme="minorHAnsi" w:eastAsia="Calibri" w:hAnsiTheme="minorHAnsi" w:cstheme="minorHAnsi"/>
          <w:sz w:val="24"/>
          <w:szCs w:val="24"/>
        </w:rPr>
        <w:t>επισκεψιμότητας</w:t>
      </w:r>
      <w:proofErr w:type="spellEnd"/>
      <w:r>
        <w:rPr>
          <w:rFonts w:asciiTheme="minorHAnsi" w:eastAsia="Calibri" w:hAnsiTheme="minorHAnsi" w:cstheme="minorHAnsi"/>
          <w:sz w:val="24"/>
          <w:szCs w:val="24"/>
        </w:rPr>
        <w:t xml:space="preserve"> και την προσέλκυση εγχώριου και διεθνούς κοινού,</w:t>
      </w:r>
    </w:p>
    <w:p w14:paraId="10DAC560" w14:textId="77777777" w:rsidR="002A2422" w:rsidRDefault="003B3AD7">
      <w:pPr>
        <w:pStyle w:val="ad"/>
        <w:numPr>
          <w:ilvl w:val="0"/>
          <w:numId w:val="12"/>
        </w:num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 xml:space="preserve">μια ειδική κατηγορία που πρέπει να έχει άμεση και </w:t>
      </w:r>
      <w:proofErr w:type="spellStart"/>
      <w:r>
        <w:rPr>
          <w:rFonts w:asciiTheme="minorHAnsi" w:eastAsia="Calibri" w:hAnsiTheme="minorHAnsi" w:cstheme="minorHAnsi"/>
          <w:sz w:val="24"/>
          <w:szCs w:val="24"/>
        </w:rPr>
        <w:t>εμπροσθοβαρή</w:t>
      </w:r>
      <w:proofErr w:type="spellEnd"/>
      <w:r>
        <w:rPr>
          <w:rFonts w:asciiTheme="minorHAnsi" w:eastAsia="Calibri" w:hAnsiTheme="minorHAnsi" w:cstheme="minorHAnsi"/>
          <w:sz w:val="24"/>
          <w:szCs w:val="24"/>
        </w:rPr>
        <w:t xml:space="preserve"> διάσταση είναι ένα πλέγμα δράσεων για την αντιμετώπιση των συνεπειών της πανδημίας του COVID-19 στους εργαζομένους στον τομέα του Πολιτισμού. Αυτό μπορεί να επιτευχθεί με: </w:t>
      </w:r>
    </w:p>
    <w:p w14:paraId="33D29E6F" w14:textId="77777777" w:rsidR="002A2422" w:rsidRDefault="003B3AD7">
      <w:pPr>
        <w:pStyle w:val="ad"/>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lastRenderedPageBreak/>
        <w:t xml:space="preserve">Α. την υλοποίηση ειδικών </w:t>
      </w:r>
      <w:proofErr w:type="spellStart"/>
      <w:r>
        <w:rPr>
          <w:rFonts w:asciiTheme="minorHAnsi" w:eastAsia="Calibri" w:hAnsiTheme="minorHAnsi" w:cstheme="minorHAnsi"/>
          <w:sz w:val="24"/>
          <w:szCs w:val="24"/>
        </w:rPr>
        <w:t>στοχευμένων</w:t>
      </w:r>
      <w:proofErr w:type="spellEnd"/>
      <w:r>
        <w:rPr>
          <w:rFonts w:asciiTheme="minorHAnsi" w:eastAsia="Calibri" w:hAnsiTheme="minorHAnsi" w:cstheme="minorHAnsi"/>
          <w:sz w:val="24"/>
          <w:szCs w:val="24"/>
        </w:rPr>
        <w:t xml:space="preserve"> προγραμμάτων ενίσχυσης στους εργαζομένους στον σύγχρονο πολιτισμό. </w:t>
      </w:r>
    </w:p>
    <w:p w14:paraId="3214E8C2" w14:textId="77777777" w:rsidR="002A2422" w:rsidRDefault="003B3AD7">
      <w:pPr>
        <w:pStyle w:val="ad"/>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Β. την παροχή κινήτρων για την ενθάρρυνση της αδήλωτης εργασίας στον τομέα του σύγχρονου Πολιτισμού,</w:t>
      </w:r>
    </w:p>
    <w:p w14:paraId="67322B8C" w14:textId="77777777" w:rsidR="002A2422" w:rsidRDefault="003B3AD7">
      <w:pPr>
        <w:pStyle w:val="ad"/>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Γ. την προώθηση και εισαγωγή της ψηφιακής κουλτούρας στον τομέα του πολιτισμού.</w:t>
      </w:r>
    </w:p>
    <w:p w14:paraId="0ABD883B" w14:textId="77777777" w:rsidR="002A2422" w:rsidRDefault="003B3AD7">
      <w:pPr>
        <w:pStyle w:val="ad"/>
        <w:spacing w:before="60" w:after="60"/>
        <w:rPr>
          <w:rFonts w:asciiTheme="minorHAnsi" w:eastAsia="Calibri" w:hAnsiTheme="minorHAnsi" w:cstheme="minorHAnsi"/>
          <w:b/>
          <w:sz w:val="24"/>
          <w:szCs w:val="24"/>
        </w:rPr>
      </w:pPr>
      <w:r>
        <w:rPr>
          <w:rFonts w:asciiTheme="minorHAnsi" w:eastAsia="Calibri" w:hAnsiTheme="minorHAnsi" w:cstheme="minorHAnsi"/>
          <w:b/>
          <w:sz w:val="24"/>
          <w:szCs w:val="24"/>
        </w:rPr>
        <w:t>Για τον τομέα του αθλητισμού:</w:t>
      </w:r>
    </w:p>
    <w:p w14:paraId="24200844" w14:textId="77777777" w:rsidR="002A2422" w:rsidRDefault="003B3AD7">
      <w:pPr>
        <w:pStyle w:val="ad"/>
        <w:numPr>
          <w:ilvl w:val="0"/>
          <w:numId w:val="13"/>
        </w:numPr>
        <w:spacing w:before="60" w:after="60"/>
        <w:ind w:left="709" w:hanging="283"/>
        <w:rPr>
          <w:rFonts w:asciiTheme="minorHAnsi" w:eastAsia="Calibri" w:hAnsiTheme="minorHAnsi" w:cstheme="minorHAnsi"/>
          <w:sz w:val="24"/>
          <w:szCs w:val="24"/>
        </w:rPr>
      </w:pPr>
      <w:r>
        <w:rPr>
          <w:rFonts w:asciiTheme="minorHAnsi" w:eastAsia="Calibri" w:hAnsiTheme="minorHAnsi" w:cstheme="minorHAnsi"/>
          <w:sz w:val="24"/>
          <w:szCs w:val="24"/>
        </w:rPr>
        <w:t xml:space="preserve">Την καταπολέμηση του ντόπινγκ, της βίας και της διαφθοράς, </w:t>
      </w:r>
    </w:p>
    <w:p w14:paraId="7BE9E175" w14:textId="77777777" w:rsidR="002A2422" w:rsidRDefault="003B3AD7">
      <w:pPr>
        <w:pStyle w:val="ad"/>
        <w:numPr>
          <w:ilvl w:val="0"/>
          <w:numId w:val="13"/>
        </w:numPr>
        <w:spacing w:before="60" w:after="60"/>
        <w:ind w:left="709" w:hanging="283"/>
        <w:rPr>
          <w:rFonts w:asciiTheme="minorHAnsi" w:eastAsia="Calibri" w:hAnsiTheme="minorHAnsi" w:cstheme="minorHAnsi"/>
          <w:sz w:val="24"/>
          <w:szCs w:val="24"/>
        </w:rPr>
      </w:pPr>
      <w:r>
        <w:rPr>
          <w:rFonts w:asciiTheme="minorHAnsi" w:eastAsia="Calibri" w:hAnsiTheme="minorHAnsi" w:cstheme="minorHAnsi"/>
          <w:sz w:val="24"/>
          <w:szCs w:val="24"/>
        </w:rPr>
        <w:t xml:space="preserve">Την αντιμετώπιση της κακοδιαχείρισης και της κακοδιοίκησης στον αθλητισμό με την παρουσίαση και την υλοποίηση άμεσων μέτρων, </w:t>
      </w:r>
    </w:p>
    <w:p w14:paraId="567B2DA7" w14:textId="77777777" w:rsidR="002A2422" w:rsidRDefault="003B3AD7">
      <w:pPr>
        <w:pStyle w:val="ad"/>
        <w:numPr>
          <w:ilvl w:val="0"/>
          <w:numId w:val="13"/>
        </w:numPr>
        <w:spacing w:before="60" w:after="60"/>
        <w:ind w:left="709" w:hanging="283"/>
        <w:rPr>
          <w:rFonts w:asciiTheme="minorHAnsi" w:eastAsia="Calibri" w:hAnsiTheme="minorHAnsi" w:cstheme="minorHAnsi"/>
          <w:sz w:val="24"/>
          <w:szCs w:val="24"/>
        </w:rPr>
      </w:pPr>
      <w:r>
        <w:rPr>
          <w:rFonts w:asciiTheme="minorHAnsi" w:eastAsia="Calibri" w:hAnsiTheme="minorHAnsi" w:cstheme="minorHAnsi"/>
          <w:sz w:val="24"/>
          <w:szCs w:val="24"/>
        </w:rPr>
        <w:t>Την προώθηση του αγωνιστικού και επαγγελματικού αθλητισμού, μέσα από τη στήριξη του αθλητισμού υψηλών επιδόσεων, μέσα από μηχανισμούς χρηματοδότησης και τη συλλογή και τεκμηρίωση στοιχείων και τη διάδοση πληροφοριών επιστημονικού ενδιαφέροντος,</w:t>
      </w:r>
    </w:p>
    <w:p w14:paraId="4E934C17" w14:textId="77777777" w:rsidR="002A2422" w:rsidRDefault="003B3AD7">
      <w:pPr>
        <w:pStyle w:val="ad"/>
        <w:numPr>
          <w:ilvl w:val="0"/>
          <w:numId w:val="13"/>
        </w:numPr>
        <w:spacing w:before="60" w:after="60"/>
        <w:ind w:left="709" w:hanging="283"/>
        <w:rPr>
          <w:rFonts w:asciiTheme="minorHAnsi" w:eastAsia="Calibri" w:hAnsiTheme="minorHAnsi" w:cstheme="minorHAnsi"/>
          <w:sz w:val="24"/>
          <w:szCs w:val="24"/>
        </w:rPr>
      </w:pPr>
      <w:r>
        <w:rPr>
          <w:rFonts w:asciiTheme="minorHAnsi" w:eastAsia="Calibri" w:hAnsiTheme="minorHAnsi" w:cstheme="minorHAnsi"/>
          <w:sz w:val="24"/>
          <w:szCs w:val="24"/>
        </w:rPr>
        <w:t xml:space="preserve">Την ανάδειξη της διαφάνειας και της χρηστής διακυβέρνησης, μέσα από την υλοποίηση και ολοκλήρωση της </w:t>
      </w:r>
      <w:proofErr w:type="spellStart"/>
      <w:r>
        <w:rPr>
          <w:rFonts w:asciiTheme="minorHAnsi" w:eastAsia="Calibri" w:hAnsiTheme="minorHAnsi" w:cstheme="minorHAnsi"/>
          <w:sz w:val="24"/>
          <w:szCs w:val="24"/>
        </w:rPr>
        <w:t>ψηφιοποίησης</w:t>
      </w:r>
      <w:proofErr w:type="spellEnd"/>
      <w:r>
        <w:rPr>
          <w:rFonts w:asciiTheme="minorHAnsi" w:eastAsia="Calibri" w:hAnsiTheme="minorHAnsi" w:cstheme="minorHAnsi"/>
          <w:sz w:val="24"/>
          <w:szCs w:val="24"/>
        </w:rPr>
        <w:t xml:space="preserve"> του αθλητικού τοπίου,</w:t>
      </w:r>
    </w:p>
    <w:p w14:paraId="03DAE1D4" w14:textId="77777777" w:rsidR="002A2422" w:rsidRDefault="003B3AD7">
      <w:pPr>
        <w:pStyle w:val="ad"/>
        <w:numPr>
          <w:ilvl w:val="0"/>
          <w:numId w:val="13"/>
        </w:numPr>
        <w:spacing w:before="60" w:after="60"/>
        <w:ind w:left="709" w:hanging="283"/>
        <w:rPr>
          <w:rFonts w:asciiTheme="minorHAnsi" w:eastAsia="Calibri" w:hAnsiTheme="minorHAnsi" w:cstheme="minorHAnsi"/>
          <w:sz w:val="24"/>
          <w:szCs w:val="24"/>
        </w:rPr>
      </w:pPr>
      <w:r>
        <w:rPr>
          <w:rFonts w:asciiTheme="minorHAnsi" w:eastAsia="Calibri" w:hAnsiTheme="minorHAnsi" w:cstheme="minorHAnsi"/>
          <w:sz w:val="24"/>
          <w:szCs w:val="24"/>
        </w:rPr>
        <w:t xml:space="preserve">Την αξιοποίηση και αναβάθμιση των αθλητικών εγκαταστάσεων με έμφαση στην πράσινη ανάπτυξη, </w:t>
      </w:r>
    </w:p>
    <w:p w14:paraId="7F1642D3" w14:textId="77777777" w:rsidR="002A2422" w:rsidRDefault="003B3AD7">
      <w:pPr>
        <w:pStyle w:val="ad"/>
        <w:numPr>
          <w:ilvl w:val="0"/>
          <w:numId w:val="13"/>
        </w:numPr>
        <w:spacing w:before="60" w:after="60"/>
        <w:ind w:left="709" w:hanging="283"/>
        <w:rPr>
          <w:rFonts w:asciiTheme="minorHAnsi" w:eastAsia="Calibri" w:hAnsiTheme="minorHAnsi" w:cstheme="minorHAnsi"/>
          <w:sz w:val="24"/>
          <w:szCs w:val="24"/>
        </w:rPr>
      </w:pPr>
      <w:r>
        <w:rPr>
          <w:rFonts w:asciiTheme="minorHAnsi" w:eastAsia="Calibri" w:hAnsiTheme="minorHAnsi" w:cstheme="minorHAnsi"/>
          <w:sz w:val="24"/>
          <w:szCs w:val="24"/>
        </w:rPr>
        <w:t>Υλοποίηση εξωστρεφών δράσεων και διεκδίκηση διεθνών διοργανώσεων</w:t>
      </w:r>
    </w:p>
    <w:p w14:paraId="140E9D6E" w14:textId="77777777" w:rsidR="002A2422" w:rsidRDefault="003B3AD7">
      <w:pPr>
        <w:pStyle w:val="ad"/>
        <w:numPr>
          <w:ilvl w:val="0"/>
          <w:numId w:val="13"/>
        </w:numPr>
        <w:spacing w:before="60" w:after="60"/>
        <w:ind w:left="709" w:hanging="283"/>
        <w:rPr>
          <w:rFonts w:asciiTheme="minorHAnsi" w:eastAsia="Calibri" w:hAnsiTheme="minorHAnsi" w:cstheme="minorHAnsi"/>
          <w:sz w:val="24"/>
          <w:szCs w:val="24"/>
        </w:rPr>
      </w:pPr>
      <w:r>
        <w:rPr>
          <w:rFonts w:asciiTheme="minorHAnsi" w:eastAsia="Calibri" w:hAnsiTheme="minorHAnsi" w:cstheme="minorHAnsi"/>
          <w:sz w:val="24"/>
          <w:szCs w:val="24"/>
        </w:rPr>
        <w:t>Προώθηση του αθλητισμού στον γενικό πληθυσμό, με έμφαση στα παιδιά και τους εφήβους, μέσα από την ανάπτυξη δράσεων και την αξιοποίηση σύγχρονων μέσων.</w:t>
      </w:r>
    </w:p>
    <w:p w14:paraId="0FBA3358" w14:textId="77777777" w:rsidR="002A2422" w:rsidRDefault="002A2422">
      <w:pPr>
        <w:pStyle w:val="ad"/>
        <w:spacing w:before="60" w:after="60"/>
        <w:rPr>
          <w:rFonts w:asciiTheme="minorHAnsi" w:eastAsia="Calibri" w:hAnsiTheme="minorHAnsi" w:cstheme="minorHAnsi"/>
          <w:sz w:val="24"/>
          <w:szCs w:val="24"/>
        </w:rPr>
      </w:pPr>
    </w:p>
    <w:p w14:paraId="75507B27" w14:textId="77777777" w:rsidR="002A2422" w:rsidRDefault="002A2422">
      <w:pPr>
        <w:pStyle w:val="ad"/>
        <w:spacing w:before="60" w:after="60"/>
        <w:rPr>
          <w:rFonts w:asciiTheme="minorHAnsi" w:eastAsia="Calibri" w:hAnsiTheme="minorHAnsi" w:cstheme="minorHAnsi"/>
          <w:sz w:val="24"/>
          <w:szCs w:val="24"/>
        </w:rPr>
      </w:pPr>
    </w:p>
    <w:p w14:paraId="2B916C3F" w14:textId="77777777" w:rsidR="002A2422" w:rsidRDefault="003B3AD7">
      <w:pPr>
        <w:pStyle w:val="ad"/>
        <w:spacing w:before="60" w:after="60"/>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Η βελτίωση και ενδυνάμωση της εξωστρέφειας του Πολιτισμού και του αθλητισμού μπορεί να  επιτευχθεί με: </w:t>
      </w:r>
    </w:p>
    <w:p w14:paraId="04F28814" w14:textId="77777777" w:rsidR="002A2422" w:rsidRDefault="003B3AD7">
      <w:pPr>
        <w:pStyle w:val="ad"/>
        <w:numPr>
          <w:ilvl w:val="0"/>
          <w:numId w:val="12"/>
        </w:num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 xml:space="preserve">Διακρατικές-διασυνοριακές συνεργασίες στον πολιτισμό, με στόχο την ανάδειξη της Ελλάδας ως διεθνούς πολιτιστικού πόλου. Κύριο εργαλείο εδώ, αποτελεί η εισαγωγή μνημείων στον κατάλογο των Μνημείων Παγκόσμιας Κληρονομιάς της </w:t>
      </w:r>
      <w:r>
        <w:rPr>
          <w:rFonts w:asciiTheme="minorHAnsi" w:eastAsia="Calibri" w:hAnsiTheme="minorHAnsi" w:cstheme="minorHAnsi"/>
          <w:sz w:val="24"/>
          <w:szCs w:val="24"/>
          <w:lang w:val="en-US"/>
        </w:rPr>
        <w:t>UNESCO</w:t>
      </w:r>
      <w:r>
        <w:rPr>
          <w:rFonts w:asciiTheme="minorHAnsi" w:eastAsia="Calibri" w:hAnsiTheme="minorHAnsi" w:cstheme="minorHAnsi"/>
          <w:sz w:val="24"/>
          <w:szCs w:val="24"/>
        </w:rPr>
        <w:t>,</w:t>
      </w:r>
    </w:p>
    <w:p w14:paraId="675B1CEA" w14:textId="77777777" w:rsidR="002A2422" w:rsidRDefault="003B3AD7">
      <w:pPr>
        <w:pStyle w:val="ad"/>
        <w:numPr>
          <w:ilvl w:val="0"/>
          <w:numId w:val="12"/>
        </w:num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την ανάληψη διεθνών πρωτοβουλιών για την προβολή του ελληνικού πολιτισμού και την προώθηση των εθνικών θέσεων στο εξωτερικό,</w:t>
      </w:r>
    </w:p>
    <w:p w14:paraId="2D7118F2" w14:textId="77777777" w:rsidR="002A2422" w:rsidRDefault="003B3AD7">
      <w:pPr>
        <w:pStyle w:val="ad"/>
        <w:numPr>
          <w:ilvl w:val="0"/>
          <w:numId w:val="12"/>
        </w:num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τη διοργάνωση περιοδικών εκθέσεων ελληνικών αρχαιοτήτων και έργων τέχνης στο εξωτερικό,</w:t>
      </w:r>
    </w:p>
    <w:p w14:paraId="66D6D0E1" w14:textId="77777777" w:rsidR="002A2422" w:rsidRDefault="003B3AD7">
      <w:pPr>
        <w:pStyle w:val="ad"/>
        <w:numPr>
          <w:ilvl w:val="0"/>
          <w:numId w:val="12"/>
        </w:num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lastRenderedPageBreak/>
        <w:t>τη διεκδίκηση αθλητικών διοργανώσεων μεσαίας και μεγάλης κλίμακας διεθνούς εμβέλειας,</w:t>
      </w:r>
    </w:p>
    <w:p w14:paraId="5A184731" w14:textId="77777777" w:rsidR="002A2422" w:rsidRDefault="003B3AD7">
      <w:pPr>
        <w:pStyle w:val="ad"/>
        <w:numPr>
          <w:ilvl w:val="0"/>
          <w:numId w:val="12"/>
        </w:num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 xml:space="preserve">τη σύναψη Μνημονίων Συνεργασίας με άλλες χώρες και διεθνείς αθλητικούς φορείς, καθώς και μέσα από τη συμμετοχή σε διεθνή προγράμματα όπως το </w:t>
      </w:r>
      <w:proofErr w:type="spellStart"/>
      <w:r>
        <w:rPr>
          <w:rFonts w:asciiTheme="minorHAnsi" w:eastAsia="Calibri" w:hAnsiTheme="minorHAnsi" w:cstheme="minorHAnsi"/>
          <w:sz w:val="24"/>
          <w:szCs w:val="24"/>
          <w:lang w:val="en-US"/>
        </w:rPr>
        <w:t>BeActive</w:t>
      </w:r>
      <w:proofErr w:type="spellEnd"/>
      <w:r>
        <w:rPr>
          <w:rFonts w:asciiTheme="minorHAnsi" w:eastAsia="Calibri" w:hAnsiTheme="minorHAnsi" w:cstheme="minorHAnsi"/>
          <w:sz w:val="24"/>
          <w:szCs w:val="24"/>
        </w:rPr>
        <w:t xml:space="preserve">, το </w:t>
      </w:r>
      <w:r>
        <w:rPr>
          <w:rFonts w:asciiTheme="minorHAnsi" w:eastAsia="Calibri" w:hAnsiTheme="minorHAnsi" w:cstheme="minorHAnsi"/>
          <w:sz w:val="24"/>
          <w:szCs w:val="24"/>
          <w:lang w:val="en-US"/>
        </w:rPr>
        <w:t>Start</w:t>
      </w:r>
      <w:r>
        <w:rPr>
          <w:rFonts w:asciiTheme="minorHAnsi" w:eastAsia="Calibri" w:hAnsiTheme="minorHAnsi" w:cstheme="minorHAnsi"/>
          <w:sz w:val="24"/>
          <w:szCs w:val="24"/>
        </w:rPr>
        <w:t xml:space="preserve"> </w:t>
      </w:r>
      <w:r>
        <w:rPr>
          <w:rFonts w:asciiTheme="minorHAnsi" w:eastAsia="Calibri" w:hAnsiTheme="minorHAnsi" w:cstheme="minorHAnsi"/>
          <w:sz w:val="24"/>
          <w:szCs w:val="24"/>
          <w:lang w:val="en-US"/>
        </w:rPr>
        <w:t>to</w:t>
      </w:r>
      <w:r>
        <w:rPr>
          <w:rFonts w:asciiTheme="minorHAnsi" w:eastAsia="Calibri" w:hAnsiTheme="minorHAnsi" w:cstheme="minorHAnsi"/>
          <w:sz w:val="24"/>
          <w:szCs w:val="24"/>
        </w:rPr>
        <w:t xml:space="preserve"> </w:t>
      </w:r>
      <w:r>
        <w:rPr>
          <w:rFonts w:asciiTheme="minorHAnsi" w:eastAsia="Calibri" w:hAnsiTheme="minorHAnsi" w:cstheme="minorHAnsi"/>
          <w:sz w:val="24"/>
          <w:szCs w:val="24"/>
          <w:lang w:val="en-US"/>
        </w:rPr>
        <w:t>Talk</w:t>
      </w:r>
      <w:r>
        <w:rPr>
          <w:rFonts w:asciiTheme="minorHAnsi" w:eastAsia="Calibri" w:hAnsiTheme="minorHAnsi" w:cstheme="minorHAnsi"/>
          <w:sz w:val="24"/>
          <w:szCs w:val="24"/>
        </w:rPr>
        <w:t xml:space="preserve">, προγράμματα </w:t>
      </w:r>
      <w:r>
        <w:rPr>
          <w:rFonts w:asciiTheme="minorHAnsi" w:eastAsia="Calibri" w:hAnsiTheme="minorHAnsi" w:cstheme="minorHAnsi"/>
          <w:sz w:val="24"/>
          <w:szCs w:val="24"/>
          <w:lang w:val="en-US"/>
        </w:rPr>
        <w:t>Erasmus</w:t>
      </w:r>
      <w:r>
        <w:rPr>
          <w:rFonts w:asciiTheme="minorHAnsi" w:eastAsia="Calibri" w:hAnsiTheme="minorHAnsi" w:cstheme="minorHAnsi"/>
          <w:sz w:val="24"/>
          <w:szCs w:val="24"/>
        </w:rPr>
        <w:t>+ για τον αθλητισμό.</w:t>
      </w:r>
    </w:p>
    <w:p w14:paraId="706FFB83" w14:textId="77777777" w:rsidR="002A2422" w:rsidRDefault="003B3AD7">
      <w:pPr>
        <w:pStyle w:val="ad"/>
        <w:numPr>
          <w:ilvl w:val="0"/>
          <w:numId w:val="12"/>
        </w:num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τη συμμετοχή σε διεθνή όργανα για την καλλιέργεια του αθλητισμού.</w:t>
      </w:r>
    </w:p>
    <w:p w14:paraId="1310D331" w14:textId="77777777" w:rsidR="002A2422" w:rsidRDefault="002A2422">
      <w:pPr>
        <w:pStyle w:val="ad"/>
        <w:spacing w:before="60" w:after="60"/>
        <w:ind w:left="360"/>
        <w:rPr>
          <w:rFonts w:asciiTheme="minorHAnsi" w:eastAsia="Calibri" w:hAnsiTheme="minorHAnsi" w:cstheme="minorHAnsi"/>
          <w:sz w:val="24"/>
          <w:szCs w:val="24"/>
        </w:rPr>
      </w:pPr>
    </w:p>
    <w:p w14:paraId="0782C95C" w14:textId="77777777" w:rsidR="002A2422" w:rsidRDefault="003B3AD7">
      <w:p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Τέλος, για την επίτευξη των στόχων της  προτεινόμενης στρατηγικής εκτιμάται ως σημαντική μια συνολική προσπάθεια οργανωτικής προσαρμογής  των δομών λειτουργίας του ΥΠΠΟΑ και των εποπτευόμενων φορέων του, για τη βελτίωση της αποτελεσματικότητας στην παραγωγή έργου και την υποστήριξη της υλοποίησης των δράσεων προς τους εποπτευόμενους φορείς, δυνητικούς δικαιούχους και  ωφελούμενους του τομεακού προγράμματος  ανάπτυξης του Πολιτισμού.</w:t>
      </w:r>
    </w:p>
    <w:p w14:paraId="3F7377A2" w14:textId="77777777" w:rsidR="002A2422" w:rsidRDefault="002A2422">
      <w:pPr>
        <w:spacing w:before="60" w:after="60"/>
        <w:rPr>
          <w:rFonts w:asciiTheme="minorHAnsi" w:eastAsia="Calibri" w:hAnsiTheme="minorHAnsi" w:cstheme="minorHAnsi"/>
          <w:sz w:val="24"/>
          <w:szCs w:val="24"/>
        </w:rPr>
      </w:pPr>
    </w:p>
    <w:p w14:paraId="4BC157F2" w14:textId="77777777" w:rsidR="002A2422" w:rsidRDefault="003B3AD7">
      <w:pPr>
        <w:pStyle w:val="2"/>
      </w:pPr>
      <w:bookmarkStart w:id="50" w:name="_Toc68011199"/>
      <w:bookmarkStart w:id="51" w:name="_Toc73665485"/>
      <w:r>
        <w:t>Προσδιορισμός και ιεράρχηση αναπτυξιακών στόχων στον τομέα του Πολιτισμού</w:t>
      </w:r>
      <w:bookmarkEnd w:id="50"/>
      <w:bookmarkEnd w:id="51"/>
    </w:p>
    <w:p w14:paraId="5357AD70"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Από την </w:t>
      </w:r>
      <w:proofErr w:type="spellStart"/>
      <w:r>
        <w:rPr>
          <w:rFonts w:asciiTheme="minorHAnsi" w:hAnsiTheme="minorHAnsi" w:cstheme="minorHAnsi"/>
          <w:sz w:val="24"/>
          <w:szCs w:val="24"/>
        </w:rPr>
        <w:t>προηγηθείσα</w:t>
      </w:r>
      <w:proofErr w:type="spellEnd"/>
      <w:r>
        <w:rPr>
          <w:rFonts w:asciiTheme="minorHAnsi" w:hAnsiTheme="minorHAnsi" w:cstheme="minorHAnsi"/>
          <w:sz w:val="24"/>
          <w:szCs w:val="24"/>
        </w:rPr>
        <w:t xml:space="preserve"> ανάλυση του εσωτερικού και εξωτερικού περιβάλλοντος και την ανάγκη  κατεύθυνσης των πόρων με κριτήριο τη δυνατότητα άμεσης υλοποίησης, αποτελεσματικότητας αλλά και ουσιαστικών επιπτώσεων, οδηγούμαστε στη διατύπωση αναπτυξιακών στόχων που συνδέονται άμεσα με τους αντίστοιχους αναπτυξιακούς στόχους του ΕΠΑ και ταυτόχρονα συμβάλλουν  στην  άμεση αντιμετώπιση κρίσιμων προβλημάτων της συγκυρίας, ενώ παράλληλα δεν παρουσιάζουν προβλήματα </w:t>
      </w:r>
      <w:proofErr w:type="spellStart"/>
      <w:r>
        <w:rPr>
          <w:rFonts w:asciiTheme="minorHAnsi" w:hAnsiTheme="minorHAnsi" w:cstheme="minorHAnsi"/>
          <w:sz w:val="24"/>
          <w:szCs w:val="24"/>
        </w:rPr>
        <w:t>επιλεξιμότητας</w:t>
      </w:r>
      <w:proofErr w:type="spellEnd"/>
      <w:r>
        <w:rPr>
          <w:rFonts w:asciiTheme="minorHAnsi" w:hAnsiTheme="minorHAnsi" w:cstheme="minorHAnsi"/>
          <w:sz w:val="24"/>
          <w:szCs w:val="24"/>
        </w:rPr>
        <w:t xml:space="preserve"> ή επικάλυψης με το υπό εκπόνηση νέο ΕΣΠΑ 2021 – 2027 και τα έργα που εντάσσονται στο Ταμείο Ανάκαμψης. </w:t>
      </w:r>
    </w:p>
    <w:p w14:paraId="65A58950"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Η προτεινόμενη δομή ακολουθεί τις οδηγίες σύνταξης της από 14.09.2020 εγκυκλίου της Γενικής Γραμματείας Δημοσίων Επενδύσεων και ΕΣΠΑ για την: «Κατάρτιση και υποβολή Τομεακών και Περιφερειακών Προγραμμάτων ΕΠΑ».</w:t>
      </w:r>
    </w:p>
    <w:p w14:paraId="1A91A3EC"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Σε ό,τι αφορά τις διαδικασίες διαβούλευσης, αυτές πρόκειται να εκκινήσουν άμεσα με βάση τις κατευθύνσεις της πολιτικής ηγεσίας του Υπουργείου ως προς την έκφραση άποψης των φορέων και του κοινού – εξωτερικού περιβάλλοντος, ενώ σε ό,τι αφορά την υπό εξέλιξη εσωτερική διαβούλευση μεταξύ των δομών και των εποπτευόμενων φορέων του Υπουργείου, αυτή αναμένεται να ολοκληρωθεί εντός του Ιουνίου  του τρέχοντος έτους.  </w:t>
      </w:r>
    </w:p>
    <w:p w14:paraId="604A50C0" w14:textId="77777777" w:rsidR="002A2422" w:rsidRDefault="003B3AD7">
      <w:pPr>
        <w:spacing w:before="60" w:after="60"/>
        <w:rPr>
          <w:rFonts w:asciiTheme="minorHAnsi" w:hAnsiTheme="minorHAnsi" w:cstheme="minorHAnsi"/>
          <w:sz w:val="24"/>
          <w:szCs w:val="24"/>
        </w:rPr>
      </w:pPr>
      <w:r>
        <w:rPr>
          <w:rFonts w:asciiTheme="minorHAnsi" w:hAnsiTheme="minorHAnsi" w:cstheme="minorHAnsi"/>
          <w:sz w:val="24"/>
          <w:szCs w:val="24"/>
        </w:rPr>
        <w:t xml:space="preserve">Επίσης, προβλέπεται να δημιουργηθεί άξονας τεχνικής βοήθειας  με στόχο την υποστήριξη των δυνητικών δικαιούχων και τη λειτουργία του συστήματος και  της δομής διαχείρισης του </w:t>
      </w:r>
      <w:r>
        <w:rPr>
          <w:rFonts w:asciiTheme="minorHAnsi" w:hAnsiTheme="minorHAnsi" w:cstheme="minorHAnsi"/>
          <w:sz w:val="24"/>
          <w:szCs w:val="24"/>
        </w:rPr>
        <w:lastRenderedPageBreak/>
        <w:t xml:space="preserve">προγράμματος. Η προβλεπόμενη Τεχνική Βοήθεια θα αναφέρεται στο σύνολο του προγράμματος, ενώ υπάρχει και η δυνατότητα να κατανεμηθεί ανά </w:t>
      </w:r>
      <w:proofErr w:type="spellStart"/>
      <w:r>
        <w:rPr>
          <w:rFonts w:asciiTheme="minorHAnsi" w:hAnsiTheme="minorHAnsi" w:cstheme="minorHAnsi"/>
          <w:sz w:val="24"/>
          <w:szCs w:val="24"/>
        </w:rPr>
        <w:t>υποπρόγραμμα</w:t>
      </w:r>
      <w:proofErr w:type="spellEnd"/>
      <w:r>
        <w:rPr>
          <w:rFonts w:asciiTheme="minorHAnsi" w:hAnsiTheme="minorHAnsi" w:cstheme="minorHAnsi"/>
          <w:sz w:val="24"/>
          <w:szCs w:val="24"/>
        </w:rPr>
        <w:t xml:space="preserve">. </w:t>
      </w:r>
    </w:p>
    <w:p w14:paraId="1E08C28C" w14:textId="77777777" w:rsidR="002A2422" w:rsidRDefault="003B3AD7">
      <w:pPr>
        <w:pStyle w:val="ae"/>
        <w:spacing w:before="60" w:after="60" w:line="360" w:lineRule="auto"/>
        <w:rPr>
          <w:rFonts w:asciiTheme="minorHAnsi" w:hAnsiTheme="minorHAnsi" w:cstheme="minorHAnsi"/>
          <w:i/>
        </w:rPr>
      </w:pPr>
      <w:r>
        <w:rPr>
          <w:rFonts w:asciiTheme="minorHAnsi" w:eastAsia="Calibri" w:hAnsiTheme="minorHAnsi" w:cstheme="minorHAnsi"/>
        </w:rPr>
        <w:t xml:space="preserve">Παρακάτω, παρουσιάζεται η ανάλυση της στρατηγικής του ΥΠΠΟΑ </w:t>
      </w:r>
      <w:r>
        <w:rPr>
          <w:rFonts w:asciiTheme="minorHAnsi" w:hAnsiTheme="minorHAnsi" w:cstheme="minorHAnsi"/>
        </w:rPr>
        <w:t xml:space="preserve">ανά </w:t>
      </w:r>
      <w:proofErr w:type="spellStart"/>
      <w:r>
        <w:rPr>
          <w:rFonts w:asciiTheme="minorHAnsi" w:hAnsiTheme="minorHAnsi" w:cstheme="minorHAnsi"/>
        </w:rPr>
        <w:t>υποπρόγραμμα</w:t>
      </w:r>
      <w:proofErr w:type="spellEnd"/>
      <w:r>
        <w:rPr>
          <w:rFonts w:asciiTheme="minorHAnsi" w:hAnsiTheme="minorHAnsi" w:cstheme="minorHAnsi"/>
        </w:rPr>
        <w:t xml:space="preserve">, σύμφωνα με τις τρεις γενικές γραμματείες που διαθέτει (Πολιτισμού, Σύγχρονου Πολιτισμού και Αθλητισμού) και γίνεται προσδιορισμός και ιεράρχηση των βασικών αναπτυξιακών στόχων του Υπουργείου,  με ταυτόχρονη αντιστοίχιση με τους αναπτυξιακούς στόχους του ΕΠΑ, καθώς και τους προτεινόμενους δείκτες του προγράμματος. Τονίζουμε ότι η διαδικασία  αντιστοίχισης με τους συγκεκριμένους είναι δεσμευτική από τους κανόνες του ΕΠΑ. Τα τρία προτεινόμενα </w:t>
      </w:r>
      <w:proofErr w:type="spellStart"/>
      <w:r>
        <w:rPr>
          <w:rFonts w:asciiTheme="minorHAnsi" w:hAnsiTheme="minorHAnsi" w:cstheme="minorHAnsi"/>
        </w:rPr>
        <w:t>υποπρογράμματα</w:t>
      </w:r>
      <w:proofErr w:type="spellEnd"/>
      <w:r>
        <w:rPr>
          <w:rFonts w:asciiTheme="minorHAnsi" w:hAnsiTheme="minorHAnsi" w:cstheme="minorHAnsi"/>
        </w:rPr>
        <w:t xml:space="preserve">  είναι της Πολιτιστικής Κληρονομιάς, του  Σύγχρονου Πολιτισμού και του Αθλητισμού.</w:t>
      </w:r>
    </w:p>
    <w:p w14:paraId="511C44CF" w14:textId="77777777" w:rsidR="002A2422" w:rsidRDefault="003B3AD7">
      <w:pPr>
        <w:pStyle w:val="2"/>
      </w:pPr>
      <w:bookmarkStart w:id="52" w:name="_Toc73665486"/>
      <w:bookmarkStart w:id="53" w:name="_Toc68011200"/>
      <w:r>
        <w:t>Αντιστοίχιση με Αναπτυξιακούς Στόχους ΕΠΑ</w:t>
      </w:r>
      <w:bookmarkEnd w:id="52"/>
      <w:bookmarkEnd w:id="53"/>
    </w:p>
    <w:p w14:paraId="44888BC5" w14:textId="77777777" w:rsidR="002A2422" w:rsidRDefault="003B3AD7">
      <w:p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 xml:space="preserve">Σύμφωνα με την εγκύκλιο, την  ιεράρχηση και τη δομή των ΕΠΑ:  Το ΤΠΑ  μπορεί να έχει μόνο ένα </w:t>
      </w:r>
      <w:proofErr w:type="spellStart"/>
      <w:r>
        <w:rPr>
          <w:rFonts w:asciiTheme="minorHAnsi" w:eastAsia="Calibri" w:hAnsiTheme="minorHAnsi" w:cstheme="minorHAnsi"/>
          <w:sz w:val="24"/>
          <w:szCs w:val="24"/>
        </w:rPr>
        <w:t>Υποπρόγραμμα</w:t>
      </w:r>
      <w:proofErr w:type="spellEnd"/>
      <w:r>
        <w:rPr>
          <w:rFonts w:asciiTheme="minorHAnsi" w:eastAsia="Calibri" w:hAnsiTheme="minorHAnsi" w:cstheme="minorHAnsi"/>
          <w:sz w:val="24"/>
          <w:szCs w:val="24"/>
        </w:rPr>
        <w:t xml:space="preserve"> για όλο το Υπουργείο ή </w:t>
      </w:r>
      <w:proofErr w:type="spellStart"/>
      <w:r>
        <w:rPr>
          <w:rFonts w:asciiTheme="minorHAnsi" w:eastAsia="Calibri" w:hAnsiTheme="minorHAnsi" w:cstheme="minorHAnsi"/>
          <w:sz w:val="24"/>
          <w:szCs w:val="24"/>
        </w:rPr>
        <w:t>Υποπρογράμματα</w:t>
      </w:r>
      <w:proofErr w:type="spellEnd"/>
      <w:r>
        <w:rPr>
          <w:rFonts w:asciiTheme="minorHAnsi" w:eastAsia="Calibri" w:hAnsiTheme="minorHAnsi" w:cstheme="minorHAnsi"/>
          <w:sz w:val="24"/>
          <w:szCs w:val="24"/>
        </w:rPr>
        <w:t xml:space="preserve"> ανά Γενική/</w:t>
      </w:r>
      <w:proofErr w:type="spellStart"/>
      <w:r>
        <w:rPr>
          <w:rFonts w:asciiTheme="minorHAnsi" w:eastAsia="Calibri" w:hAnsiTheme="minorHAnsi" w:cstheme="minorHAnsi"/>
          <w:sz w:val="24"/>
          <w:szCs w:val="24"/>
        </w:rPr>
        <w:t>ές</w:t>
      </w:r>
      <w:proofErr w:type="spellEnd"/>
      <w:r>
        <w:rPr>
          <w:rFonts w:asciiTheme="minorHAnsi" w:eastAsia="Calibri" w:hAnsiTheme="minorHAnsi" w:cstheme="minorHAnsi"/>
          <w:sz w:val="24"/>
          <w:szCs w:val="24"/>
        </w:rPr>
        <w:t xml:space="preserve"> Γραμματεία/</w:t>
      </w:r>
      <w:proofErr w:type="spellStart"/>
      <w:r>
        <w:rPr>
          <w:rFonts w:asciiTheme="minorHAnsi" w:eastAsia="Calibri" w:hAnsiTheme="minorHAnsi" w:cstheme="minorHAnsi"/>
          <w:sz w:val="24"/>
          <w:szCs w:val="24"/>
        </w:rPr>
        <w:t>ες</w:t>
      </w:r>
      <w:proofErr w:type="spellEnd"/>
      <w:r>
        <w:rPr>
          <w:rFonts w:asciiTheme="minorHAnsi" w:eastAsia="Calibri" w:hAnsiTheme="minorHAnsi" w:cstheme="minorHAnsi"/>
          <w:sz w:val="24"/>
          <w:szCs w:val="24"/>
        </w:rPr>
        <w:t xml:space="preserve"> ή Ειδική/</w:t>
      </w:r>
      <w:proofErr w:type="spellStart"/>
      <w:r>
        <w:rPr>
          <w:rFonts w:asciiTheme="minorHAnsi" w:eastAsia="Calibri" w:hAnsiTheme="minorHAnsi" w:cstheme="minorHAnsi"/>
          <w:sz w:val="24"/>
          <w:szCs w:val="24"/>
        </w:rPr>
        <w:t>ες</w:t>
      </w:r>
      <w:proofErr w:type="spellEnd"/>
      <w:r>
        <w:rPr>
          <w:rFonts w:asciiTheme="minorHAnsi" w:eastAsia="Calibri" w:hAnsiTheme="minorHAnsi" w:cstheme="minorHAnsi"/>
          <w:sz w:val="24"/>
          <w:szCs w:val="24"/>
        </w:rPr>
        <w:t xml:space="preserve"> Γραμματεία/</w:t>
      </w:r>
      <w:proofErr w:type="spellStart"/>
      <w:r>
        <w:rPr>
          <w:rFonts w:asciiTheme="minorHAnsi" w:eastAsia="Calibri" w:hAnsiTheme="minorHAnsi" w:cstheme="minorHAnsi"/>
          <w:sz w:val="24"/>
          <w:szCs w:val="24"/>
        </w:rPr>
        <w:t>ες</w:t>
      </w:r>
      <w:proofErr w:type="spellEnd"/>
      <w:r>
        <w:rPr>
          <w:rFonts w:asciiTheme="minorHAnsi" w:eastAsia="Calibri" w:hAnsiTheme="minorHAnsi" w:cstheme="minorHAnsi"/>
          <w:sz w:val="24"/>
          <w:szCs w:val="24"/>
        </w:rPr>
        <w:t xml:space="preserve">. </w:t>
      </w:r>
    </w:p>
    <w:p w14:paraId="4566E4D9" w14:textId="77777777" w:rsidR="002A2422" w:rsidRDefault="003B3AD7">
      <w:pPr>
        <w:spacing w:before="60" w:after="60"/>
        <w:rPr>
          <w:rFonts w:asciiTheme="minorHAnsi" w:eastAsia="Calibri" w:hAnsiTheme="minorHAnsi" w:cstheme="minorHAnsi"/>
          <w:b/>
          <w:bCs/>
          <w:sz w:val="24"/>
          <w:szCs w:val="24"/>
        </w:rPr>
      </w:pPr>
      <w:r>
        <w:rPr>
          <w:rFonts w:asciiTheme="minorHAnsi" w:eastAsia="Calibri" w:hAnsiTheme="minorHAnsi" w:cstheme="minorHAnsi"/>
          <w:sz w:val="24"/>
          <w:szCs w:val="24"/>
        </w:rPr>
        <w:t xml:space="preserve">Δεδομένου ότι το ΥΠΠΟΑ διαθέτει τρεις Γενικές Γραμματείες </w:t>
      </w:r>
      <w:r>
        <w:rPr>
          <w:rFonts w:asciiTheme="minorHAnsi" w:eastAsia="Calibri" w:hAnsiTheme="minorHAnsi" w:cstheme="minorHAnsi"/>
          <w:b/>
          <w:bCs/>
          <w:sz w:val="24"/>
          <w:szCs w:val="24"/>
        </w:rPr>
        <w:t xml:space="preserve">προτείνεται η δημιουργία τριών διακριτών </w:t>
      </w:r>
      <w:proofErr w:type="spellStart"/>
      <w:r>
        <w:rPr>
          <w:rFonts w:asciiTheme="minorHAnsi" w:eastAsia="Calibri" w:hAnsiTheme="minorHAnsi" w:cstheme="minorHAnsi"/>
          <w:b/>
          <w:bCs/>
          <w:sz w:val="24"/>
          <w:szCs w:val="24"/>
        </w:rPr>
        <w:t>υποπρογραμμάτων</w:t>
      </w:r>
      <w:proofErr w:type="spellEnd"/>
      <w:r>
        <w:rPr>
          <w:rFonts w:asciiTheme="minorHAnsi" w:eastAsia="Calibri" w:hAnsiTheme="minorHAnsi" w:cstheme="minorHAnsi"/>
          <w:b/>
          <w:bCs/>
          <w:sz w:val="24"/>
          <w:szCs w:val="24"/>
        </w:rPr>
        <w:t>, ένα ανά  γραμματεία. Το πρώτο θα αφορά την Πολιτιστική Κληρονομιά, το δεύτερο τον Σύγχρονο Πολιτισμό και το τρίτο τον Αθλητισμό.</w:t>
      </w:r>
    </w:p>
    <w:p w14:paraId="17664255" w14:textId="77777777" w:rsidR="002A2422" w:rsidRDefault="003B3AD7">
      <w:pPr>
        <w:spacing w:before="60" w:after="60"/>
        <w:rPr>
          <w:rFonts w:asciiTheme="minorHAnsi" w:eastAsia="Calibri" w:hAnsiTheme="minorHAnsi" w:cstheme="minorHAnsi"/>
          <w:sz w:val="24"/>
          <w:szCs w:val="24"/>
        </w:rPr>
      </w:pPr>
      <w:r>
        <w:rPr>
          <w:rFonts w:asciiTheme="minorHAnsi" w:eastAsia="Calibri" w:hAnsiTheme="minorHAnsi" w:cstheme="minorHAnsi"/>
          <w:sz w:val="24"/>
          <w:szCs w:val="24"/>
        </w:rPr>
        <w:t xml:space="preserve">Παρακάτω παρουσιάζονται συγκεντρωτικά και σε Πίνακες, η   αντιστοίχιση  ανά </w:t>
      </w:r>
      <w:proofErr w:type="spellStart"/>
      <w:r>
        <w:rPr>
          <w:rFonts w:asciiTheme="minorHAnsi" w:eastAsia="Calibri" w:hAnsiTheme="minorHAnsi" w:cstheme="minorHAnsi"/>
          <w:sz w:val="24"/>
          <w:szCs w:val="24"/>
        </w:rPr>
        <w:t>υποπρόγραμμα</w:t>
      </w:r>
      <w:proofErr w:type="spellEnd"/>
      <w:r>
        <w:rPr>
          <w:rFonts w:asciiTheme="minorHAnsi" w:eastAsia="Calibri" w:hAnsiTheme="minorHAnsi" w:cstheme="minorHAnsi"/>
          <w:sz w:val="24"/>
          <w:szCs w:val="24"/>
        </w:rPr>
        <w:t xml:space="preserve"> των προτεραιοτήτων του ΕΠΑ, ανά αναπτυξιακό στόχο και με τους προτεινόμενους  δείκτες. </w:t>
      </w:r>
    </w:p>
    <w:p w14:paraId="490B8720" w14:textId="77777777" w:rsidR="002A2422" w:rsidRDefault="002A2422">
      <w:pPr>
        <w:spacing w:before="60" w:after="60"/>
        <w:rPr>
          <w:rFonts w:asciiTheme="minorHAnsi" w:eastAsia="Calibri" w:hAnsiTheme="minorHAnsi" w:cstheme="minorHAnsi"/>
          <w:sz w:val="24"/>
          <w:szCs w:val="24"/>
        </w:rPr>
      </w:pPr>
    </w:p>
    <w:p w14:paraId="5A4BC511" w14:textId="77777777" w:rsidR="002A2422" w:rsidRDefault="003B3AD7">
      <w:pPr>
        <w:pStyle w:val="3"/>
      </w:pPr>
      <w:bookmarkStart w:id="54" w:name="_Toc68011201"/>
      <w:bookmarkStart w:id="55" w:name="_Toc73665487"/>
      <w:r>
        <w:t>ΥΠΟΠΡΟΓΡΑΜΜΑ ΠΟΛΙΤΙΣΤΙΚΉ ΚΛΗΡΟΝΟΜΙΑ</w:t>
      </w:r>
      <w:bookmarkEnd w:id="54"/>
      <w:bookmarkEnd w:id="55"/>
    </w:p>
    <w:p w14:paraId="27D41357" w14:textId="77777777" w:rsidR="002A2422" w:rsidRDefault="003B3AD7">
      <w:pPr>
        <w:spacing w:before="60" w:after="60" w:line="336" w:lineRule="auto"/>
        <w:rPr>
          <w:rFonts w:asciiTheme="minorHAnsi" w:eastAsia="Calibri" w:hAnsiTheme="minorHAnsi" w:cstheme="minorHAnsi"/>
          <w:b/>
          <w:bCs/>
          <w:sz w:val="24"/>
          <w:szCs w:val="24"/>
        </w:rPr>
      </w:pPr>
      <w:bookmarkStart w:id="56" w:name="_Toc68011202"/>
      <w:r>
        <w:rPr>
          <w:rFonts w:asciiTheme="minorHAnsi" w:eastAsia="Calibri" w:hAnsiTheme="minorHAnsi" w:cstheme="minorHAnsi"/>
          <w:b/>
          <w:bCs/>
          <w:sz w:val="24"/>
          <w:szCs w:val="24"/>
        </w:rPr>
        <w:t>ΑΝΑΠΤΥΞΙΑΚΟΣ ΣΤΟΧΟΣ  ΕΠΑ  «ΕΞΥΠΝΗ ΑΝΑΠΤΥΞΗ»</w:t>
      </w:r>
      <w:bookmarkEnd w:id="56"/>
    </w:p>
    <w:p w14:paraId="0DF6B53E" w14:textId="77777777" w:rsidR="002A2422" w:rsidRDefault="003B3AD7">
      <w:pPr>
        <w:pStyle w:val="ae"/>
        <w:spacing w:line="336" w:lineRule="auto"/>
        <w:rPr>
          <w:rFonts w:asciiTheme="minorHAnsi" w:hAnsiTheme="minorHAnsi" w:cstheme="minorHAnsi"/>
        </w:rPr>
      </w:pPr>
      <w:r>
        <w:rPr>
          <w:rFonts w:asciiTheme="minorHAnsi" w:hAnsiTheme="minorHAnsi" w:cstheme="minorHAnsi"/>
        </w:rPr>
        <w:t xml:space="preserve">Σε σχέση με τον αναπτυξιακό στόχο της έξυπνης ανάπτυξης  οι προτεινόμενες προτεραιότητες αφορούν στη διασύνδεση της έρευνας με τον Πολιτισμό μέσω της  δημιουργίας επιλεγμένων κεντρικών ερευνητικών κέντρων και προγραμμάτων σε τομείς αιχμής, καθώς και στην </w:t>
      </w:r>
      <w:proofErr w:type="spellStart"/>
      <w:r>
        <w:rPr>
          <w:rFonts w:asciiTheme="minorHAnsi" w:hAnsiTheme="minorHAnsi" w:cstheme="minorHAnsi"/>
        </w:rPr>
        <w:t>ψηφιοποίηση</w:t>
      </w:r>
      <w:proofErr w:type="spellEnd"/>
      <w:r>
        <w:rPr>
          <w:rFonts w:asciiTheme="minorHAnsi" w:hAnsiTheme="minorHAnsi" w:cstheme="minorHAnsi"/>
        </w:rPr>
        <w:t xml:space="preserve"> των διαδικασιών και των λειτουργιών του ΥΠΠΟΑ.</w:t>
      </w:r>
    </w:p>
    <w:p w14:paraId="4C93CDAF" w14:textId="77777777" w:rsidR="002A2422" w:rsidRDefault="002A2422">
      <w:pPr>
        <w:spacing w:line="336" w:lineRule="auto"/>
        <w:rPr>
          <w:rFonts w:asciiTheme="minorHAnsi" w:hAnsiTheme="minorHAnsi" w:cstheme="minorHAnsi"/>
        </w:rPr>
      </w:pPr>
    </w:p>
    <w:p w14:paraId="5D469B53" w14:textId="77777777" w:rsidR="002A2422" w:rsidRDefault="003B3AD7">
      <w:pPr>
        <w:spacing w:before="60" w:after="60" w:line="336" w:lineRule="auto"/>
        <w:rPr>
          <w:rFonts w:asciiTheme="minorHAnsi" w:eastAsia="Calibri" w:hAnsiTheme="minorHAnsi" w:cstheme="minorHAnsi"/>
          <w:b/>
          <w:bCs/>
          <w:sz w:val="24"/>
          <w:szCs w:val="24"/>
        </w:rPr>
      </w:pPr>
      <w:bookmarkStart w:id="57" w:name="_Toc68011203"/>
      <w:r>
        <w:rPr>
          <w:rFonts w:asciiTheme="minorHAnsi" w:eastAsia="Calibri" w:hAnsiTheme="minorHAnsi" w:cstheme="minorHAnsi"/>
          <w:b/>
          <w:bCs/>
          <w:sz w:val="24"/>
          <w:szCs w:val="24"/>
        </w:rPr>
        <w:t>ΑΝΑΠΤΥΞΙΑΚΟΣ ΣΤΟΧΟΣ   ΕΠΑ ΠΡΑΣΙΝΗ ΑΝΑΠΤΥΞΗ</w:t>
      </w:r>
      <w:bookmarkEnd w:id="57"/>
      <w:r>
        <w:rPr>
          <w:rFonts w:asciiTheme="minorHAnsi" w:eastAsia="Calibri" w:hAnsiTheme="minorHAnsi" w:cstheme="minorHAnsi"/>
          <w:b/>
          <w:bCs/>
          <w:sz w:val="24"/>
          <w:szCs w:val="24"/>
        </w:rPr>
        <w:t xml:space="preserve">  </w:t>
      </w:r>
    </w:p>
    <w:p w14:paraId="78C19671" w14:textId="77777777" w:rsidR="002A2422" w:rsidRDefault="003B3AD7">
      <w:pPr>
        <w:spacing w:line="336" w:lineRule="auto"/>
        <w:rPr>
          <w:rFonts w:asciiTheme="minorHAnsi" w:eastAsia="Calibri" w:hAnsiTheme="minorHAnsi" w:cstheme="minorHAnsi"/>
          <w:sz w:val="24"/>
          <w:szCs w:val="24"/>
        </w:rPr>
      </w:pPr>
      <w:r>
        <w:rPr>
          <w:rFonts w:asciiTheme="minorHAnsi" w:eastAsia="Calibri" w:hAnsiTheme="minorHAnsi" w:cstheme="minorHAnsi"/>
          <w:sz w:val="24"/>
          <w:szCs w:val="24"/>
        </w:rPr>
        <w:t xml:space="preserve">Στον αναπτυξιακό στόχο της Πράσινης Ανάπτυξης έχει σημαντικό ρόλο η προτεραιότητα της πρόληψης και διαχείρισης κινδύνων που αφορά κυρίως μνημεία και μουσεία καθώς και γενικότερα η ανάδειξη, προστασία και αξιοποίηση της φυσικής κληρονομιάς (π.χ. Παγκόσμια </w:t>
      </w:r>
      <w:proofErr w:type="spellStart"/>
      <w:r>
        <w:rPr>
          <w:rFonts w:asciiTheme="minorHAnsi" w:eastAsia="Calibri" w:hAnsiTheme="minorHAnsi" w:cstheme="minorHAnsi"/>
          <w:sz w:val="24"/>
          <w:szCs w:val="24"/>
        </w:rPr>
        <w:t>Γεωπάρκα</w:t>
      </w:r>
      <w:proofErr w:type="spellEnd"/>
      <w:r>
        <w:rPr>
          <w:rFonts w:asciiTheme="minorHAnsi" w:eastAsia="Calibri" w:hAnsiTheme="minorHAnsi" w:cstheme="minorHAnsi"/>
          <w:sz w:val="24"/>
          <w:szCs w:val="24"/>
        </w:rPr>
        <w:t xml:space="preserve"> </w:t>
      </w:r>
      <w:proofErr w:type="spellStart"/>
      <w:r>
        <w:rPr>
          <w:rFonts w:asciiTheme="minorHAnsi" w:eastAsia="Calibri" w:hAnsiTheme="minorHAnsi" w:cstheme="minorHAnsi"/>
          <w:sz w:val="24"/>
          <w:szCs w:val="24"/>
          <w:lang w:val="en-US"/>
        </w:rPr>
        <w:t>Unesco</w:t>
      </w:r>
      <w:proofErr w:type="spellEnd"/>
      <w:r>
        <w:rPr>
          <w:rFonts w:asciiTheme="minorHAnsi" w:eastAsia="Calibri" w:hAnsiTheme="minorHAnsi" w:cstheme="minorHAnsi"/>
          <w:sz w:val="24"/>
          <w:szCs w:val="24"/>
        </w:rPr>
        <w:t xml:space="preserve"> κ.λπ.).</w:t>
      </w:r>
    </w:p>
    <w:p w14:paraId="35B55E58" w14:textId="77777777" w:rsidR="002A2422" w:rsidRDefault="002A2422">
      <w:pPr>
        <w:spacing w:before="60" w:after="60" w:line="336" w:lineRule="auto"/>
        <w:rPr>
          <w:rFonts w:asciiTheme="minorHAnsi" w:eastAsia="Calibri" w:hAnsiTheme="minorHAnsi" w:cstheme="minorHAnsi"/>
          <w:b/>
          <w:bCs/>
          <w:sz w:val="24"/>
          <w:szCs w:val="24"/>
        </w:rPr>
      </w:pPr>
    </w:p>
    <w:p w14:paraId="09F12206" w14:textId="77777777" w:rsidR="002A2422" w:rsidRDefault="003B3AD7">
      <w:pPr>
        <w:spacing w:before="60" w:after="60" w:line="336" w:lineRule="auto"/>
        <w:rPr>
          <w:rFonts w:asciiTheme="minorHAnsi" w:eastAsia="Calibri" w:hAnsiTheme="minorHAnsi" w:cstheme="minorHAnsi"/>
          <w:b/>
          <w:bCs/>
          <w:sz w:val="24"/>
          <w:szCs w:val="24"/>
        </w:rPr>
      </w:pPr>
      <w:bookmarkStart w:id="58" w:name="_Toc68011204"/>
      <w:r>
        <w:rPr>
          <w:rFonts w:asciiTheme="minorHAnsi" w:eastAsia="Calibri" w:hAnsiTheme="minorHAnsi" w:cstheme="minorHAnsi"/>
          <w:b/>
          <w:bCs/>
          <w:sz w:val="24"/>
          <w:szCs w:val="24"/>
        </w:rPr>
        <w:t>ΑΝΑΠΤΥΞΙΑΚΟΣ ΣΤΟΧΟΣ ΕΠΑ ΚΟΙΝΩΝΙΚΗ  ΑΝΑΠΤΥΞΗ:</w:t>
      </w:r>
      <w:bookmarkEnd w:id="58"/>
      <w:r>
        <w:rPr>
          <w:rFonts w:asciiTheme="minorHAnsi" w:eastAsia="Calibri" w:hAnsiTheme="minorHAnsi" w:cstheme="minorHAnsi"/>
          <w:b/>
          <w:bCs/>
          <w:sz w:val="24"/>
          <w:szCs w:val="24"/>
        </w:rPr>
        <w:t xml:space="preserve"> </w:t>
      </w:r>
    </w:p>
    <w:p w14:paraId="02B301AC" w14:textId="77777777" w:rsidR="002A2422" w:rsidRDefault="003B3AD7">
      <w:pPr>
        <w:spacing w:line="336" w:lineRule="auto"/>
        <w:rPr>
          <w:rFonts w:asciiTheme="minorHAnsi" w:eastAsia="Times New Roman" w:hAnsiTheme="minorHAnsi" w:cstheme="minorHAnsi"/>
          <w:sz w:val="24"/>
          <w:szCs w:val="24"/>
        </w:rPr>
      </w:pPr>
      <w:r>
        <w:rPr>
          <w:rFonts w:asciiTheme="minorHAnsi" w:hAnsiTheme="minorHAnsi" w:cstheme="minorHAnsi"/>
          <w:sz w:val="24"/>
          <w:szCs w:val="24"/>
        </w:rPr>
        <w:t xml:space="preserve">Στην Κοινωνική ανάπτυξη σημαντικό ρόλο αποτελεί η  ενίσχυση των υποδομών για τη βελτίωση της οικονομικής και κοινωνικής ενσωμάτωσης σε χώρους Πολιτισμού. </w:t>
      </w:r>
    </w:p>
    <w:p w14:paraId="2853CD85" w14:textId="77777777" w:rsidR="002A2422" w:rsidRDefault="002A2422">
      <w:pPr>
        <w:spacing w:line="336" w:lineRule="auto"/>
        <w:rPr>
          <w:rFonts w:asciiTheme="minorHAnsi" w:eastAsia="Times New Roman" w:hAnsiTheme="minorHAnsi" w:cstheme="minorHAnsi"/>
          <w:sz w:val="24"/>
          <w:szCs w:val="24"/>
        </w:rPr>
      </w:pPr>
    </w:p>
    <w:p w14:paraId="32003D56" w14:textId="77777777" w:rsidR="002A2422" w:rsidRDefault="003B3AD7">
      <w:pPr>
        <w:spacing w:before="60" w:after="60" w:line="336" w:lineRule="auto"/>
        <w:rPr>
          <w:rFonts w:asciiTheme="minorHAnsi" w:eastAsia="Calibri" w:hAnsiTheme="minorHAnsi" w:cstheme="minorHAnsi"/>
          <w:b/>
          <w:bCs/>
          <w:sz w:val="24"/>
          <w:szCs w:val="24"/>
        </w:rPr>
      </w:pPr>
      <w:bookmarkStart w:id="59" w:name="_Toc68011205"/>
      <w:r>
        <w:rPr>
          <w:rFonts w:asciiTheme="minorHAnsi" w:eastAsia="Calibri" w:hAnsiTheme="minorHAnsi" w:cstheme="minorHAnsi"/>
          <w:b/>
          <w:bCs/>
          <w:sz w:val="24"/>
          <w:szCs w:val="24"/>
        </w:rPr>
        <w:t>ΑΝΑΠΤΥΞΙΑΚΟΣ ΣΤΟΧΟΣ ΕΠΑ ΕΝΙΣΧΥΣΗ ΕΞΩΣΤΡΕΦΕΙΑΣ :</w:t>
      </w:r>
      <w:bookmarkEnd w:id="59"/>
      <w:r>
        <w:rPr>
          <w:rFonts w:asciiTheme="minorHAnsi" w:eastAsia="Calibri" w:hAnsiTheme="minorHAnsi" w:cstheme="minorHAnsi"/>
          <w:b/>
          <w:bCs/>
          <w:sz w:val="24"/>
          <w:szCs w:val="24"/>
        </w:rPr>
        <w:t xml:space="preserve"> </w:t>
      </w:r>
    </w:p>
    <w:p w14:paraId="4E3DEACD" w14:textId="77777777" w:rsidR="002A2422" w:rsidRDefault="003B3AD7">
      <w:pPr>
        <w:spacing w:line="336" w:lineRule="auto"/>
        <w:rPr>
          <w:rFonts w:asciiTheme="minorHAnsi" w:eastAsia="Times New Roman" w:hAnsiTheme="minorHAnsi" w:cstheme="minorHAnsi"/>
          <w:sz w:val="24"/>
          <w:szCs w:val="24"/>
        </w:rPr>
      </w:pPr>
      <w:r>
        <w:rPr>
          <w:rFonts w:asciiTheme="minorHAnsi" w:eastAsia="Calibri" w:hAnsiTheme="minorHAnsi" w:cstheme="minorHAnsi"/>
          <w:sz w:val="24"/>
          <w:szCs w:val="24"/>
        </w:rPr>
        <w:t xml:space="preserve">Ο τομέας της εξωστρέφειας του Πολιτισμού μπορεί να  έχει πολύ μεγάλη συνεισφορά στην οικονομική ανάπτυξη της χώρας. Ειδικότερα, η αναβάθμιση της προστασίας και ανάδειξης των μνημείων, αρχαιολογικών χώρων και </w:t>
      </w:r>
      <w:r>
        <w:rPr>
          <w:rFonts w:asciiTheme="minorHAnsi" w:eastAsia="Times New Roman" w:hAnsiTheme="minorHAnsi" w:cstheme="minorHAnsi"/>
          <w:sz w:val="24"/>
          <w:szCs w:val="24"/>
        </w:rPr>
        <w:t>τόπων ιστορικού ενδιαφέροντος, αλλά και γενικότερα της πολιτιστικής κληρονομιάς  καθώς και η βελτίωση των ψηφιακών υποδομών ξενάγησης  σε μουσεία και πολιτιστικούς χώρους.</w:t>
      </w:r>
    </w:p>
    <w:p w14:paraId="38659D27" w14:textId="77777777" w:rsidR="002A2422" w:rsidRDefault="002A2422">
      <w:pPr>
        <w:spacing w:before="60" w:after="60"/>
        <w:rPr>
          <w:rFonts w:asciiTheme="minorHAnsi" w:eastAsia="Calibri" w:hAnsiTheme="minorHAnsi" w:cstheme="minorHAnsi"/>
          <w:b/>
          <w:bCs/>
          <w:sz w:val="24"/>
          <w:szCs w:val="24"/>
        </w:rPr>
      </w:pPr>
      <w:bookmarkStart w:id="60" w:name="_Toc68011206"/>
    </w:p>
    <w:p w14:paraId="2D4AC37A" w14:textId="77777777" w:rsidR="002A2422" w:rsidRDefault="003B3AD7">
      <w:pPr>
        <w:spacing w:before="60" w:after="60"/>
        <w:rPr>
          <w:rFonts w:asciiTheme="minorHAnsi" w:eastAsia="Calibri" w:hAnsiTheme="minorHAnsi" w:cstheme="minorHAnsi"/>
          <w:b/>
          <w:bCs/>
          <w:sz w:val="24"/>
          <w:szCs w:val="24"/>
        </w:rPr>
      </w:pPr>
      <w:r>
        <w:rPr>
          <w:rFonts w:asciiTheme="minorHAnsi" w:eastAsia="Calibri" w:hAnsiTheme="minorHAnsi" w:cstheme="minorHAnsi"/>
          <w:b/>
          <w:bCs/>
          <w:sz w:val="24"/>
          <w:szCs w:val="24"/>
        </w:rPr>
        <w:t>ΑΝΑΠΤΥΞΙΑΚΟΣ ΣΤΟΧΟΣ ΕΠΑ ΥΠΟΣΤΗΡΙΞΗ ΠΡΟΓΡΑΜΜΑΤΩΝ</w:t>
      </w:r>
      <w:bookmarkEnd w:id="60"/>
    </w:p>
    <w:p w14:paraId="2839DEC9" w14:textId="77777777" w:rsidR="002A2422" w:rsidRDefault="003B3AD7">
      <w:pPr>
        <w:rPr>
          <w:rFonts w:asciiTheme="minorHAnsi" w:eastAsia="Calibri" w:hAnsiTheme="minorHAnsi" w:cstheme="minorHAnsi"/>
          <w:sz w:val="24"/>
          <w:szCs w:val="24"/>
        </w:rPr>
      </w:pPr>
      <w:r>
        <w:rPr>
          <w:rFonts w:asciiTheme="minorHAnsi" w:eastAsia="Calibri" w:hAnsiTheme="minorHAnsi" w:cstheme="minorHAnsi"/>
          <w:sz w:val="24"/>
          <w:szCs w:val="24"/>
        </w:rPr>
        <w:t xml:space="preserve">Αφορά πρόγραμμα τεχνικής βοήθειας για την υποστήριξη της υλοποίησης του </w:t>
      </w:r>
      <w:proofErr w:type="spellStart"/>
      <w:r>
        <w:rPr>
          <w:rFonts w:asciiTheme="minorHAnsi" w:eastAsia="Calibri" w:hAnsiTheme="minorHAnsi" w:cstheme="minorHAnsi"/>
          <w:sz w:val="24"/>
          <w:szCs w:val="24"/>
        </w:rPr>
        <w:t>Υποπρογράμματος</w:t>
      </w:r>
      <w:proofErr w:type="spellEnd"/>
      <w:r>
        <w:rPr>
          <w:rFonts w:asciiTheme="minorHAnsi" w:eastAsia="Calibri" w:hAnsiTheme="minorHAnsi" w:cstheme="minorHAnsi"/>
          <w:sz w:val="24"/>
          <w:szCs w:val="24"/>
        </w:rPr>
        <w:t xml:space="preserve"> της Πολιτιστικής Κληρονομιάς.</w:t>
      </w:r>
    </w:p>
    <w:p w14:paraId="4F249917" w14:textId="77777777" w:rsidR="002A2422" w:rsidRDefault="002A2422">
      <w:pPr>
        <w:rPr>
          <w:rFonts w:asciiTheme="minorHAnsi" w:eastAsia="Calibri" w:hAnsiTheme="minorHAnsi" w:cstheme="minorHAnsi"/>
          <w:sz w:val="24"/>
          <w:szCs w:val="24"/>
        </w:rPr>
      </w:pPr>
    </w:p>
    <w:p w14:paraId="4A11D98D" w14:textId="77777777" w:rsidR="002A2422" w:rsidRDefault="003B3AD7">
      <w:pPr>
        <w:pStyle w:val="4"/>
      </w:pPr>
      <w:bookmarkStart w:id="61" w:name="_Toc68011207"/>
      <w:r>
        <w:t>ΔΕΙΚΤΕΣ ΥΠΟΠΡΟΓΡΑΜΜΑΤΟΣ Α’ ΠΟΛΙΤΙΣΤΙΚΗ ΚΛΗΡΟΝΟΜΙΑ</w:t>
      </w:r>
      <w:bookmarkEnd w:id="61"/>
      <w:r>
        <w:t xml:space="preserve"> </w:t>
      </w:r>
    </w:p>
    <w:p w14:paraId="29D3DA07" w14:textId="77777777" w:rsidR="002A2422" w:rsidRDefault="002A2422"/>
    <w:p w14:paraId="3F601649" w14:textId="77777777" w:rsidR="002A2422" w:rsidRDefault="002A2422">
      <w:pPr>
        <w:jc w:val="center"/>
        <w:rPr>
          <w:vanish/>
          <w:sz w:val="18"/>
          <w:szCs w:val="18"/>
        </w:rPr>
      </w:pPr>
    </w:p>
    <w:tbl>
      <w:tblPr>
        <w:tblW w:w="5000" w:type="pct"/>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2127"/>
        <w:gridCol w:w="144"/>
        <w:gridCol w:w="3195"/>
        <w:gridCol w:w="64"/>
        <w:gridCol w:w="4001"/>
        <w:gridCol w:w="92"/>
      </w:tblGrid>
      <w:tr w:rsidR="002A2422" w14:paraId="15B276E2" w14:textId="77777777">
        <w:trPr>
          <w:gridAfter w:val="1"/>
          <w:wAfter w:w="48" w:type="pct"/>
        </w:trPr>
        <w:tc>
          <w:tcPr>
            <w:tcW w:w="4952" w:type="pct"/>
            <w:gridSpan w:val="5"/>
            <w:shd w:val="pct50" w:color="auto" w:fill="auto"/>
          </w:tcPr>
          <w:p w14:paraId="6443BCE5" w14:textId="77777777" w:rsidR="002A2422" w:rsidRDefault="003B3AD7">
            <w:pPr>
              <w:pStyle w:val="ad"/>
              <w:spacing w:line="240" w:lineRule="auto"/>
              <w:rPr>
                <w:rFonts w:asciiTheme="minorHAnsi" w:hAnsiTheme="minorHAnsi" w:cstheme="minorHAnsi"/>
                <w:b/>
                <w:bCs/>
                <w:sz w:val="18"/>
                <w:szCs w:val="18"/>
              </w:rPr>
            </w:pPr>
            <w:r>
              <w:rPr>
                <w:rFonts w:asciiTheme="minorHAnsi" w:eastAsia="Times New Roman" w:hAnsiTheme="minorHAnsi" w:cstheme="minorHAnsi"/>
                <w:b/>
                <w:bCs/>
                <w:sz w:val="18"/>
                <w:szCs w:val="18"/>
              </w:rPr>
              <w:t>ΑΝΑΠΤΥΞΙΑΚΟΣ ΣΤΟΧΟΣ ΕΠΑ  ΕΞΥΠΝΗ ΑΝΑΠΤΥΞΗ</w:t>
            </w:r>
          </w:p>
        </w:tc>
      </w:tr>
      <w:tr w:rsidR="002A2422" w14:paraId="3CACE55D" w14:textId="77777777">
        <w:trPr>
          <w:gridAfter w:val="1"/>
          <w:wAfter w:w="48" w:type="pct"/>
        </w:trPr>
        <w:tc>
          <w:tcPr>
            <w:tcW w:w="1180" w:type="pct"/>
            <w:gridSpan w:val="2"/>
            <w:shd w:val="pct50" w:color="auto" w:fill="auto"/>
          </w:tcPr>
          <w:p w14:paraId="7A877FD5" w14:textId="77777777" w:rsidR="002A2422" w:rsidRDefault="003B3AD7">
            <w:pPr>
              <w:autoSpaceDE w:val="0"/>
              <w:autoSpaceDN w:val="0"/>
              <w:adjustRightInd w:val="0"/>
              <w:jc w:val="center"/>
              <w:rPr>
                <w:rFonts w:asciiTheme="minorHAnsi" w:eastAsia="Times New Roman" w:hAnsiTheme="minorHAnsi" w:cstheme="minorHAnsi"/>
                <w:b/>
                <w:bCs/>
                <w:sz w:val="18"/>
                <w:szCs w:val="18"/>
              </w:rPr>
            </w:pPr>
            <w:r>
              <w:rPr>
                <w:rFonts w:asciiTheme="minorHAnsi" w:hAnsiTheme="minorHAnsi" w:cstheme="minorHAnsi"/>
                <w:b/>
                <w:bCs/>
                <w:sz w:val="18"/>
                <w:szCs w:val="18"/>
              </w:rPr>
              <w:t>ΠΡΟΤΕΡΑΙΟΤΗΤΑ ΤΠΑ /ΥΠΠΟΑ</w:t>
            </w:r>
          </w:p>
        </w:tc>
        <w:tc>
          <w:tcPr>
            <w:tcW w:w="1660" w:type="pct"/>
            <w:shd w:val="pct50" w:color="auto" w:fill="auto"/>
          </w:tcPr>
          <w:p w14:paraId="3B401660" w14:textId="77777777" w:rsidR="002A2422" w:rsidRDefault="003B3AD7">
            <w:pPr>
              <w:autoSpaceDE w:val="0"/>
              <w:autoSpaceDN w:val="0"/>
              <w:adjustRightInd w:val="0"/>
              <w:jc w:val="center"/>
              <w:rPr>
                <w:rFonts w:asciiTheme="minorHAnsi" w:eastAsia="Times New Roman" w:hAnsiTheme="minorHAnsi" w:cstheme="minorHAnsi"/>
                <w:b/>
                <w:bCs/>
                <w:sz w:val="18"/>
                <w:szCs w:val="18"/>
              </w:rPr>
            </w:pPr>
            <w:r>
              <w:rPr>
                <w:rFonts w:asciiTheme="minorHAnsi" w:hAnsiTheme="minorHAnsi" w:cstheme="minorHAnsi"/>
                <w:b/>
                <w:bCs/>
                <w:sz w:val="18"/>
                <w:szCs w:val="18"/>
              </w:rPr>
              <w:t>ΑΝΤΙΣΤΟΙΧΙΣΗ ΜΕ ΠΡΟΤΕΡΑΙΟΤΗΤΑ ΕΠΑ</w:t>
            </w:r>
          </w:p>
        </w:tc>
        <w:tc>
          <w:tcPr>
            <w:tcW w:w="2112" w:type="pct"/>
            <w:gridSpan w:val="2"/>
            <w:shd w:val="pct50" w:color="auto" w:fill="auto"/>
          </w:tcPr>
          <w:p w14:paraId="24A72E6E" w14:textId="77777777" w:rsidR="002A2422" w:rsidRDefault="003B3AD7">
            <w:pPr>
              <w:pStyle w:val="ad"/>
              <w:spacing w:line="240" w:lineRule="auto"/>
              <w:rPr>
                <w:rFonts w:asciiTheme="minorHAnsi" w:eastAsia="Times New Roman" w:hAnsiTheme="minorHAnsi" w:cstheme="minorHAnsi"/>
                <w:b/>
                <w:bCs/>
                <w:sz w:val="18"/>
                <w:szCs w:val="18"/>
              </w:rPr>
            </w:pPr>
            <w:r>
              <w:rPr>
                <w:rFonts w:asciiTheme="minorHAnsi" w:hAnsiTheme="minorHAnsi" w:cstheme="minorHAnsi"/>
                <w:b/>
                <w:bCs/>
                <w:sz w:val="18"/>
                <w:szCs w:val="18"/>
              </w:rPr>
              <w:t>ΠΡΟΤΕΙΝΟΜΕΝΟΙ ΔΕΙΚΤΕΣ</w:t>
            </w:r>
          </w:p>
        </w:tc>
      </w:tr>
      <w:tr w:rsidR="002A2422" w14:paraId="6869B673" w14:textId="77777777">
        <w:trPr>
          <w:gridAfter w:val="1"/>
          <w:wAfter w:w="48" w:type="pct"/>
        </w:trPr>
        <w:tc>
          <w:tcPr>
            <w:tcW w:w="1180" w:type="pct"/>
            <w:gridSpan w:val="2"/>
            <w:shd w:val="clear" w:color="auto" w:fill="auto"/>
            <w:vAlign w:val="center"/>
          </w:tcPr>
          <w:p w14:paraId="4FE7EB7D" w14:textId="77777777" w:rsidR="002A2422" w:rsidRDefault="002A2422">
            <w:pPr>
              <w:autoSpaceDE w:val="0"/>
              <w:autoSpaceDN w:val="0"/>
              <w:adjustRightInd w:val="0"/>
              <w:jc w:val="center"/>
              <w:rPr>
                <w:rFonts w:ascii="Calibri" w:eastAsia="Times New Roman" w:hAnsi="Calibri" w:cs="Calibri"/>
                <w:b/>
                <w:bCs/>
                <w:sz w:val="18"/>
                <w:szCs w:val="18"/>
              </w:rPr>
            </w:pPr>
          </w:p>
          <w:p w14:paraId="0F41F7ED" w14:textId="77777777" w:rsidR="002A2422" w:rsidRDefault="003B3AD7">
            <w:pPr>
              <w:autoSpaceDE w:val="0"/>
              <w:autoSpaceDN w:val="0"/>
              <w:adjustRightInd w:val="0"/>
              <w:jc w:val="center"/>
              <w:rPr>
                <w:rFonts w:ascii="Calibri" w:eastAsia="Times New Roman" w:hAnsi="Calibri" w:cs="Calibri"/>
                <w:sz w:val="18"/>
                <w:szCs w:val="18"/>
              </w:rPr>
            </w:pPr>
            <w:r>
              <w:rPr>
                <w:rFonts w:ascii="Calibri" w:eastAsia="Times New Roman" w:hAnsi="Calibri" w:cs="Calibri"/>
                <w:b/>
                <w:bCs/>
                <w:sz w:val="18"/>
                <w:szCs w:val="18"/>
              </w:rPr>
              <w:t>Δημιουργία επιλεγμένων κεντρικών ερευνητικών κέντρων και προγραμμάτων σε τομείς αιχμής</w:t>
            </w:r>
          </w:p>
        </w:tc>
        <w:tc>
          <w:tcPr>
            <w:tcW w:w="1660" w:type="pct"/>
            <w:shd w:val="clear" w:color="auto" w:fill="auto"/>
            <w:vAlign w:val="center"/>
          </w:tcPr>
          <w:p w14:paraId="70D0E695"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1.1</w:t>
            </w:r>
          </w:p>
        </w:tc>
        <w:tc>
          <w:tcPr>
            <w:tcW w:w="2112" w:type="pct"/>
            <w:gridSpan w:val="2"/>
            <w:shd w:val="clear" w:color="auto" w:fill="FFFFFF"/>
            <w:vAlign w:val="center"/>
          </w:tcPr>
          <w:p w14:paraId="192AD7C5" w14:textId="77777777" w:rsidR="002A2422" w:rsidRDefault="003B3AD7">
            <w:pPr>
              <w:pStyle w:val="ad"/>
              <w:numPr>
                <w:ilvl w:val="0"/>
                <w:numId w:val="14"/>
              </w:numPr>
              <w:spacing w:line="240" w:lineRule="auto"/>
              <w:jc w:val="center"/>
              <w:rPr>
                <w:rFonts w:ascii="Calibri" w:eastAsia="Times New Roman" w:hAnsi="Calibri" w:cs="Calibri"/>
                <w:sz w:val="18"/>
                <w:szCs w:val="18"/>
              </w:rPr>
            </w:pPr>
            <w:r>
              <w:rPr>
                <w:rFonts w:ascii="Calibri" w:eastAsia="Times New Roman" w:hAnsi="Calibri" w:cs="Calibri"/>
                <w:sz w:val="18"/>
                <w:szCs w:val="18"/>
              </w:rPr>
              <w:t>Ερευνητικά προγράμματα που αξιολογούνται</w:t>
            </w:r>
          </w:p>
          <w:p w14:paraId="1BA45AF0" w14:textId="77777777" w:rsidR="002A2422" w:rsidRDefault="002A2422">
            <w:pPr>
              <w:widowControl w:val="0"/>
              <w:autoSpaceDE w:val="0"/>
              <w:autoSpaceDN w:val="0"/>
              <w:adjustRightInd w:val="0"/>
              <w:spacing w:before="40" w:after="40"/>
              <w:ind w:left="318"/>
              <w:jc w:val="center"/>
              <w:rPr>
                <w:rFonts w:ascii="Calibri" w:eastAsia="Times New Roman" w:hAnsi="Calibri" w:cs="Calibri"/>
                <w:sz w:val="18"/>
                <w:szCs w:val="18"/>
              </w:rPr>
            </w:pPr>
          </w:p>
          <w:p w14:paraId="0B416FC6" w14:textId="77777777" w:rsidR="002A2422" w:rsidRDefault="002A2422">
            <w:pPr>
              <w:widowControl w:val="0"/>
              <w:autoSpaceDE w:val="0"/>
              <w:autoSpaceDN w:val="0"/>
              <w:adjustRightInd w:val="0"/>
              <w:spacing w:before="40" w:after="40"/>
              <w:ind w:left="318"/>
              <w:jc w:val="center"/>
              <w:rPr>
                <w:rFonts w:ascii="Calibri" w:eastAsia="Times New Roman" w:hAnsi="Calibri" w:cs="Calibri"/>
                <w:sz w:val="18"/>
                <w:szCs w:val="18"/>
              </w:rPr>
            </w:pPr>
          </w:p>
        </w:tc>
      </w:tr>
      <w:tr w:rsidR="002A2422" w14:paraId="167C9C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pct"/>
        </w:trPr>
        <w:tc>
          <w:tcPr>
            <w:tcW w:w="1180" w:type="pct"/>
            <w:gridSpan w:val="2"/>
            <w:shd w:val="clear" w:color="auto" w:fill="auto"/>
          </w:tcPr>
          <w:p w14:paraId="3A894A78" w14:textId="77777777" w:rsidR="002A2422" w:rsidRDefault="003B3AD7">
            <w:pPr>
              <w:jc w:val="center"/>
              <w:rPr>
                <w:rFonts w:ascii="Calibri" w:eastAsia="Times New Roman" w:hAnsi="Calibri" w:cs="Calibri"/>
                <w:b/>
                <w:bCs/>
                <w:sz w:val="18"/>
                <w:szCs w:val="18"/>
              </w:rPr>
            </w:pPr>
            <w:r>
              <w:rPr>
                <w:rFonts w:ascii="Calibri" w:eastAsia="Times New Roman" w:hAnsi="Calibri" w:cs="Calibri"/>
                <w:b/>
                <w:bCs/>
                <w:sz w:val="18"/>
                <w:szCs w:val="18"/>
              </w:rPr>
              <w:t xml:space="preserve">Δημόσια διοίκηση και </w:t>
            </w:r>
            <w:proofErr w:type="spellStart"/>
            <w:r>
              <w:rPr>
                <w:rFonts w:ascii="Calibri" w:eastAsia="Times New Roman" w:hAnsi="Calibri" w:cs="Calibri"/>
                <w:b/>
                <w:bCs/>
                <w:sz w:val="18"/>
                <w:szCs w:val="18"/>
              </w:rPr>
              <w:t>ψηφιοποίηση</w:t>
            </w:r>
            <w:proofErr w:type="spellEnd"/>
          </w:p>
          <w:p w14:paraId="3FFABEA0" w14:textId="77777777" w:rsidR="002A2422" w:rsidRDefault="002A2422">
            <w:pPr>
              <w:autoSpaceDE w:val="0"/>
              <w:autoSpaceDN w:val="0"/>
              <w:adjustRightInd w:val="0"/>
              <w:jc w:val="center"/>
              <w:rPr>
                <w:rFonts w:ascii="Calibri" w:eastAsia="Times New Roman" w:hAnsi="Calibri" w:cs="Calibri"/>
                <w:sz w:val="18"/>
                <w:szCs w:val="18"/>
              </w:rPr>
            </w:pPr>
          </w:p>
        </w:tc>
        <w:tc>
          <w:tcPr>
            <w:tcW w:w="1660" w:type="pct"/>
            <w:shd w:val="clear" w:color="auto" w:fill="auto"/>
          </w:tcPr>
          <w:p w14:paraId="116FE295" w14:textId="77777777" w:rsidR="002A2422" w:rsidRDefault="003B3AD7">
            <w:pPr>
              <w:jc w:val="center"/>
              <w:rPr>
                <w:rFonts w:ascii="Calibri" w:eastAsia="Times New Roman" w:hAnsi="Calibri" w:cs="Calibri"/>
                <w:b/>
                <w:bCs/>
                <w:sz w:val="18"/>
                <w:szCs w:val="18"/>
              </w:rPr>
            </w:pPr>
            <w:r>
              <w:rPr>
                <w:rFonts w:ascii="Calibri" w:eastAsia="Times New Roman" w:hAnsi="Calibri" w:cs="Calibri"/>
                <w:b/>
                <w:bCs/>
                <w:sz w:val="18"/>
                <w:szCs w:val="18"/>
              </w:rPr>
              <w:t>1.6</w:t>
            </w:r>
          </w:p>
        </w:tc>
        <w:tc>
          <w:tcPr>
            <w:tcW w:w="2112" w:type="pct"/>
            <w:gridSpan w:val="2"/>
            <w:shd w:val="clear" w:color="auto" w:fill="auto"/>
          </w:tcPr>
          <w:p w14:paraId="0C543B89" w14:textId="77777777" w:rsidR="002A2422" w:rsidRDefault="003B3AD7">
            <w:pPr>
              <w:pStyle w:val="ad"/>
              <w:numPr>
                <w:ilvl w:val="0"/>
                <w:numId w:val="14"/>
              </w:numPr>
              <w:spacing w:line="240" w:lineRule="auto"/>
              <w:jc w:val="center"/>
              <w:rPr>
                <w:rFonts w:ascii="Calibri" w:eastAsia="Times New Roman" w:hAnsi="Calibri" w:cs="Calibri"/>
                <w:sz w:val="18"/>
                <w:szCs w:val="18"/>
              </w:rPr>
            </w:pPr>
            <w:r>
              <w:rPr>
                <w:rFonts w:ascii="Calibri" w:eastAsia="Times New Roman" w:hAnsi="Calibri" w:cs="Calibri"/>
                <w:sz w:val="18"/>
                <w:szCs w:val="18"/>
              </w:rPr>
              <w:t>Αριθμός έργων που αφορούν δημόσιες διοικήσεις ή δημόσιες υπηρεσίες σε εθνικό, περιφερειακό ή τοπικό επίπεδο</w:t>
            </w:r>
          </w:p>
        </w:tc>
      </w:tr>
      <w:tr w:rsidR="002A2422" w14:paraId="08CC30EB" w14:textId="77777777">
        <w:trPr>
          <w:tblHeader/>
        </w:trPr>
        <w:tc>
          <w:tcPr>
            <w:tcW w:w="5000" w:type="pct"/>
            <w:gridSpan w:val="6"/>
            <w:tcBorders>
              <w:bottom w:val="double" w:sz="4" w:space="0" w:color="808080"/>
            </w:tcBorders>
            <w:shd w:val="clear" w:color="auto" w:fill="808080"/>
            <w:vAlign w:val="center"/>
          </w:tcPr>
          <w:p w14:paraId="45827CBE" w14:textId="77777777" w:rsidR="002A2422" w:rsidRDefault="003B3AD7">
            <w:pPr>
              <w:pStyle w:val="ad"/>
              <w:ind w:left="1080"/>
              <w:rPr>
                <w:rFonts w:ascii="Calibri" w:eastAsia="Calibri" w:hAnsi="Calibri" w:cs="Calibri"/>
                <w:b/>
                <w:bCs/>
                <w:sz w:val="18"/>
                <w:szCs w:val="18"/>
              </w:rPr>
            </w:pPr>
            <w:r>
              <w:rPr>
                <w:rFonts w:ascii="Calibri" w:eastAsia="Calibri" w:hAnsi="Calibri" w:cs="Calibri"/>
                <w:b/>
                <w:sz w:val="18"/>
                <w:szCs w:val="18"/>
                <w:u w:val="single"/>
              </w:rPr>
              <w:t xml:space="preserve">ΑΝΑΠΤΥΞΙΑΚΟΣ ΣΤΟΧΟΣ   ΕΠΑ </w:t>
            </w:r>
            <w:r>
              <w:rPr>
                <w:rFonts w:ascii="Calibri" w:eastAsia="Calibri" w:hAnsi="Calibri" w:cs="Calibri"/>
                <w:b/>
                <w:bCs/>
                <w:sz w:val="18"/>
                <w:szCs w:val="18"/>
                <w:u w:val="single"/>
              </w:rPr>
              <w:t>ΠΡΑΣΙΝΗ ΑΝΑΠΤΥΞΗ</w:t>
            </w:r>
          </w:p>
          <w:p w14:paraId="39F861C9" w14:textId="77777777" w:rsidR="002A2422" w:rsidRDefault="002A2422">
            <w:pPr>
              <w:jc w:val="center"/>
              <w:rPr>
                <w:rFonts w:ascii="Calibri" w:eastAsia="Times New Roman" w:hAnsi="Calibri" w:cs="Calibri"/>
                <w:b/>
                <w:bCs/>
                <w:sz w:val="18"/>
                <w:szCs w:val="18"/>
              </w:rPr>
            </w:pPr>
          </w:p>
        </w:tc>
      </w:tr>
      <w:tr w:rsidR="002A2422" w14:paraId="0CC044F5" w14:textId="77777777">
        <w:trPr>
          <w:tblHeader/>
        </w:trPr>
        <w:tc>
          <w:tcPr>
            <w:tcW w:w="1105" w:type="pct"/>
            <w:tcBorders>
              <w:bottom w:val="double" w:sz="4" w:space="0" w:color="808080"/>
            </w:tcBorders>
            <w:shd w:val="clear" w:color="auto" w:fill="808080"/>
            <w:vAlign w:val="center"/>
          </w:tcPr>
          <w:p w14:paraId="1C7D5322"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ΠΡΟΤΕΡΑΙΟΤΗΤΑ ΤΠΑ /ΥΠΠΟΑ</w:t>
            </w:r>
          </w:p>
        </w:tc>
        <w:tc>
          <w:tcPr>
            <w:tcW w:w="1768" w:type="pct"/>
            <w:gridSpan w:val="3"/>
            <w:tcBorders>
              <w:bottom w:val="double" w:sz="4" w:space="0" w:color="808080"/>
            </w:tcBorders>
            <w:shd w:val="clear" w:color="auto" w:fill="808080"/>
            <w:vAlign w:val="center"/>
          </w:tcPr>
          <w:p w14:paraId="0EEAF5D4"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ΑΝΤΙΣΤΟΙΧΗΣΗ ΜΕ ΠΡΟΤΕΡΑΙΟΤΗΤΑ ΕΠΑ</w:t>
            </w:r>
          </w:p>
        </w:tc>
        <w:tc>
          <w:tcPr>
            <w:tcW w:w="2127" w:type="pct"/>
            <w:gridSpan w:val="2"/>
            <w:tcBorders>
              <w:bottom w:val="double" w:sz="4" w:space="0" w:color="808080"/>
            </w:tcBorders>
            <w:shd w:val="clear" w:color="auto" w:fill="808080"/>
            <w:vAlign w:val="center"/>
          </w:tcPr>
          <w:p w14:paraId="66E57B83" w14:textId="77777777" w:rsidR="002A2422" w:rsidRDefault="003B3AD7">
            <w:pPr>
              <w:jc w:val="center"/>
              <w:rPr>
                <w:rFonts w:ascii="Calibri" w:eastAsia="Calibri" w:hAnsi="Calibri" w:cs="Calibri"/>
                <w:sz w:val="18"/>
                <w:szCs w:val="18"/>
              </w:rPr>
            </w:pPr>
            <w:r>
              <w:rPr>
                <w:rFonts w:ascii="Calibri" w:eastAsia="Times New Roman" w:hAnsi="Calibri" w:cs="Calibri"/>
                <w:b/>
                <w:bCs/>
                <w:sz w:val="18"/>
                <w:szCs w:val="18"/>
              </w:rPr>
              <w:t>ΠΡΟΤΕΙΝΟΜΕΝΟΙ ΔΕΙΚΤΕΣ</w:t>
            </w:r>
          </w:p>
        </w:tc>
      </w:tr>
      <w:tr w:rsidR="002A2422" w14:paraId="2C9889B9" w14:textId="77777777">
        <w:tc>
          <w:tcPr>
            <w:tcW w:w="1105" w:type="pct"/>
            <w:shd w:val="clear" w:color="auto" w:fill="auto"/>
            <w:vAlign w:val="center"/>
          </w:tcPr>
          <w:p w14:paraId="472221DA" w14:textId="77777777" w:rsidR="002A2422" w:rsidRDefault="003B3AD7">
            <w:pPr>
              <w:autoSpaceDE w:val="0"/>
              <w:autoSpaceDN w:val="0"/>
              <w:adjustRightInd w:val="0"/>
              <w:jc w:val="center"/>
              <w:rPr>
                <w:rFonts w:ascii="Calibri" w:eastAsia="Times New Roman" w:hAnsi="Calibri" w:cs="Calibri"/>
                <w:sz w:val="18"/>
                <w:szCs w:val="18"/>
              </w:rPr>
            </w:pPr>
            <w:proofErr w:type="spellStart"/>
            <w:r>
              <w:rPr>
                <w:rFonts w:ascii="Calibri" w:eastAsia="Times New Roman" w:hAnsi="Calibri" w:cs="Calibri"/>
                <w:b/>
                <w:bCs/>
                <w:sz w:val="18"/>
                <w:szCs w:val="18"/>
                <w:lang w:val="en-US"/>
              </w:rPr>
              <w:lastRenderedPageBreak/>
              <w:t>Πρόληψη</w:t>
            </w:r>
            <w:proofErr w:type="spellEnd"/>
            <w:r>
              <w:rPr>
                <w:rFonts w:ascii="Calibri" w:eastAsia="Times New Roman" w:hAnsi="Calibri" w:cs="Calibri"/>
                <w:b/>
                <w:bCs/>
                <w:sz w:val="18"/>
                <w:szCs w:val="18"/>
                <w:lang w:val="en-US"/>
              </w:rPr>
              <w:t xml:space="preserve"> &amp; </w:t>
            </w:r>
            <w:proofErr w:type="spellStart"/>
            <w:r>
              <w:rPr>
                <w:rFonts w:ascii="Calibri" w:eastAsia="Times New Roman" w:hAnsi="Calibri" w:cs="Calibri"/>
                <w:b/>
                <w:bCs/>
                <w:sz w:val="18"/>
                <w:szCs w:val="18"/>
                <w:lang w:val="en-US"/>
              </w:rPr>
              <w:t>δι</w:t>
            </w:r>
            <w:proofErr w:type="spellEnd"/>
            <w:r>
              <w:rPr>
                <w:rFonts w:ascii="Calibri" w:eastAsia="Times New Roman" w:hAnsi="Calibri" w:cs="Calibri"/>
                <w:b/>
                <w:bCs/>
                <w:sz w:val="18"/>
                <w:szCs w:val="18"/>
                <w:lang w:val="en-US"/>
              </w:rPr>
              <w:t xml:space="preserve">αχείριση </w:t>
            </w:r>
            <w:proofErr w:type="spellStart"/>
            <w:r>
              <w:rPr>
                <w:rFonts w:ascii="Calibri" w:eastAsia="Times New Roman" w:hAnsi="Calibri" w:cs="Calibri"/>
                <w:b/>
                <w:bCs/>
                <w:sz w:val="18"/>
                <w:szCs w:val="18"/>
                <w:lang w:val="en-US"/>
              </w:rPr>
              <w:t>κινδύνων</w:t>
            </w:r>
            <w:proofErr w:type="spellEnd"/>
          </w:p>
        </w:tc>
        <w:tc>
          <w:tcPr>
            <w:tcW w:w="1768" w:type="pct"/>
            <w:gridSpan w:val="3"/>
            <w:shd w:val="clear" w:color="auto" w:fill="auto"/>
            <w:vAlign w:val="center"/>
          </w:tcPr>
          <w:p w14:paraId="0379808A"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2.4</w:t>
            </w:r>
          </w:p>
        </w:tc>
        <w:tc>
          <w:tcPr>
            <w:tcW w:w="2127" w:type="pct"/>
            <w:gridSpan w:val="2"/>
            <w:shd w:val="clear" w:color="auto" w:fill="FFFFFF"/>
            <w:vAlign w:val="center"/>
          </w:tcPr>
          <w:p w14:paraId="6744E787" w14:textId="77777777" w:rsidR="002A2422" w:rsidRDefault="003B3AD7">
            <w:pPr>
              <w:pStyle w:val="ad"/>
              <w:widowControl w:val="0"/>
              <w:numPr>
                <w:ilvl w:val="0"/>
                <w:numId w:val="15"/>
              </w:numPr>
              <w:autoSpaceDE w:val="0"/>
              <w:autoSpaceDN w:val="0"/>
              <w:adjustRightInd w:val="0"/>
              <w:spacing w:before="40" w:after="40"/>
              <w:jc w:val="center"/>
              <w:rPr>
                <w:rFonts w:ascii="Calibri" w:eastAsia="Times New Roman" w:hAnsi="Calibri" w:cs="Calibri"/>
                <w:sz w:val="18"/>
                <w:szCs w:val="18"/>
              </w:rPr>
            </w:pPr>
            <w:r>
              <w:rPr>
                <w:rFonts w:ascii="Calibri" w:eastAsia="Times New Roman" w:hAnsi="Calibri" w:cs="Calibri"/>
                <w:sz w:val="18"/>
                <w:szCs w:val="18"/>
              </w:rPr>
              <w:t>Έργα προστασίας μνημείων και αρχαιολογικών χώρων</w:t>
            </w:r>
          </w:p>
          <w:p w14:paraId="59730520" w14:textId="77777777" w:rsidR="002A2422" w:rsidRDefault="003B3AD7">
            <w:pPr>
              <w:pStyle w:val="ad"/>
              <w:widowControl w:val="0"/>
              <w:numPr>
                <w:ilvl w:val="0"/>
                <w:numId w:val="15"/>
              </w:numPr>
              <w:autoSpaceDE w:val="0"/>
              <w:autoSpaceDN w:val="0"/>
              <w:adjustRightInd w:val="0"/>
              <w:spacing w:before="40" w:after="40"/>
              <w:jc w:val="center"/>
              <w:rPr>
                <w:rFonts w:ascii="Calibri" w:eastAsia="Times New Roman" w:hAnsi="Calibri" w:cs="Calibri"/>
                <w:sz w:val="18"/>
                <w:szCs w:val="18"/>
              </w:rPr>
            </w:pPr>
            <w:r>
              <w:rPr>
                <w:rFonts w:ascii="Calibri" w:eastAsia="Times New Roman" w:hAnsi="Calibri" w:cs="Calibri"/>
                <w:sz w:val="18"/>
                <w:szCs w:val="18"/>
              </w:rPr>
              <w:t>Αριθμός Σχεδίων Δράσης που εκπονούνται / εφαρμόζονται</w:t>
            </w:r>
          </w:p>
        </w:tc>
      </w:tr>
      <w:tr w:rsidR="002A2422" w14:paraId="417EE625" w14:textId="77777777">
        <w:tc>
          <w:tcPr>
            <w:tcW w:w="1105" w:type="pct"/>
            <w:shd w:val="clear" w:color="auto" w:fill="auto"/>
            <w:vAlign w:val="center"/>
          </w:tcPr>
          <w:p w14:paraId="72E843AA" w14:textId="77777777" w:rsidR="002A2422" w:rsidRDefault="003B3AD7">
            <w:pPr>
              <w:jc w:val="center"/>
              <w:rPr>
                <w:rFonts w:ascii="Calibri" w:eastAsia="Times New Roman" w:hAnsi="Calibri" w:cs="Calibri"/>
                <w:b/>
                <w:bCs/>
                <w:sz w:val="18"/>
                <w:szCs w:val="18"/>
              </w:rPr>
            </w:pPr>
            <w:r>
              <w:rPr>
                <w:rFonts w:ascii="Calibri" w:eastAsia="Times New Roman" w:hAnsi="Calibri" w:cs="Calibri"/>
                <w:b/>
                <w:bCs/>
                <w:sz w:val="18"/>
                <w:szCs w:val="18"/>
              </w:rPr>
              <w:t>Ανάδειξη, προστασία και αξιοποίηση της φυσικής κληρονομιάς</w:t>
            </w:r>
          </w:p>
        </w:tc>
        <w:tc>
          <w:tcPr>
            <w:tcW w:w="1768" w:type="pct"/>
            <w:gridSpan w:val="3"/>
            <w:shd w:val="clear" w:color="auto" w:fill="auto"/>
            <w:vAlign w:val="center"/>
          </w:tcPr>
          <w:p w14:paraId="5378B935" w14:textId="77777777" w:rsidR="002A2422" w:rsidRDefault="003B3AD7">
            <w:pPr>
              <w:jc w:val="center"/>
              <w:rPr>
                <w:rFonts w:ascii="Calibri" w:hAnsi="Calibri" w:cs="Calibri"/>
                <w:b/>
                <w:bCs/>
                <w:sz w:val="18"/>
                <w:szCs w:val="18"/>
              </w:rPr>
            </w:pPr>
            <w:r>
              <w:rPr>
                <w:rFonts w:ascii="Calibri" w:hAnsi="Calibri" w:cs="Calibri"/>
                <w:b/>
                <w:bCs/>
                <w:sz w:val="18"/>
                <w:szCs w:val="18"/>
              </w:rPr>
              <w:t>2.10</w:t>
            </w:r>
          </w:p>
          <w:p w14:paraId="5966082F" w14:textId="77777777" w:rsidR="002A2422" w:rsidRDefault="002A2422">
            <w:pPr>
              <w:autoSpaceDE w:val="0"/>
              <w:autoSpaceDN w:val="0"/>
              <w:adjustRightInd w:val="0"/>
              <w:jc w:val="center"/>
              <w:rPr>
                <w:rFonts w:ascii="Calibri" w:eastAsia="Times New Roman" w:hAnsi="Calibri" w:cs="Calibri"/>
                <w:b/>
                <w:bCs/>
                <w:sz w:val="18"/>
                <w:szCs w:val="18"/>
              </w:rPr>
            </w:pPr>
          </w:p>
        </w:tc>
        <w:tc>
          <w:tcPr>
            <w:tcW w:w="2127" w:type="pct"/>
            <w:gridSpan w:val="2"/>
            <w:shd w:val="clear" w:color="auto" w:fill="FFFFFF"/>
            <w:vAlign w:val="center"/>
          </w:tcPr>
          <w:p w14:paraId="3A54DC6D" w14:textId="77777777" w:rsidR="002A2422" w:rsidRDefault="003B3AD7">
            <w:pPr>
              <w:pStyle w:val="ad"/>
              <w:numPr>
                <w:ilvl w:val="0"/>
                <w:numId w:val="16"/>
              </w:numPr>
              <w:spacing w:line="240" w:lineRule="auto"/>
              <w:jc w:val="center"/>
              <w:rPr>
                <w:rFonts w:ascii="Calibri" w:eastAsia="Times New Roman" w:hAnsi="Calibri" w:cs="Calibri"/>
                <w:sz w:val="18"/>
                <w:szCs w:val="18"/>
              </w:rPr>
            </w:pPr>
            <w:r>
              <w:rPr>
                <w:rFonts w:ascii="Calibri" w:eastAsia="Times New Roman" w:hAnsi="Calibri" w:cs="Calibri"/>
                <w:sz w:val="18"/>
                <w:szCs w:val="18"/>
              </w:rPr>
              <w:t>Αναβάθμιση, προστασία και ανάδειξη χώρων φυσικής κληρονομιάς</w:t>
            </w:r>
          </w:p>
          <w:p w14:paraId="649903E8" w14:textId="77777777" w:rsidR="002A2422" w:rsidRDefault="003B3AD7">
            <w:pPr>
              <w:pStyle w:val="ad"/>
              <w:numPr>
                <w:ilvl w:val="0"/>
                <w:numId w:val="16"/>
              </w:numPr>
              <w:spacing w:line="240" w:lineRule="auto"/>
              <w:jc w:val="center"/>
              <w:rPr>
                <w:rFonts w:ascii="Calibri" w:eastAsia="Times New Roman" w:hAnsi="Calibri" w:cs="Calibri"/>
                <w:b/>
                <w:bCs/>
                <w:sz w:val="18"/>
                <w:szCs w:val="18"/>
              </w:rPr>
            </w:pPr>
            <w:r>
              <w:rPr>
                <w:rFonts w:ascii="Calibri" w:eastAsia="Times New Roman" w:hAnsi="Calibri" w:cs="Calibri"/>
                <w:sz w:val="18"/>
                <w:szCs w:val="18"/>
              </w:rPr>
              <w:t xml:space="preserve">Αριθμός αστικών </w:t>
            </w:r>
            <w:proofErr w:type="spellStart"/>
            <w:r>
              <w:rPr>
                <w:rFonts w:ascii="Calibri" w:eastAsia="Times New Roman" w:hAnsi="Calibri" w:cs="Calibri"/>
                <w:sz w:val="18"/>
                <w:szCs w:val="18"/>
              </w:rPr>
              <w:t>τοποσήμων</w:t>
            </w:r>
            <w:proofErr w:type="spellEnd"/>
          </w:p>
          <w:p w14:paraId="5D37D1F7" w14:textId="77777777" w:rsidR="002A2422" w:rsidRDefault="003B3AD7">
            <w:pPr>
              <w:pStyle w:val="ad"/>
              <w:numPr>
                <w:ilvl w:val="0"/>
                <w:numId w:val="16"/>
              </w:numPr>
              <w:spacing w:line="240" w:lineRule="auto"/>
              <w:jc w:val="center"/>
              <w:rPr>
                <w:rFonts w:ascii="Calibri" w:eastAsia="Times New Roman" w:hAnsi="Calibri" w:cs="Calibri"/>
                <w:b/>
                <w:bCs/>
                <w:sz w:val="18"/>
                <w:szCs w:val="18"/>
              </w:rPr>
            </w:pPr>
            <w:r>
              <w:rPr>
                <w:rFonts w:ascii="Calibri" w:eastAsia="Times New Roman" w:hAnsi="Calibri" w:cs="Calibri"/>
                <w:sz w:val="18"/>
                <w:szCs w:val="18"/>
              </w:rPr>
              <w:t>Ενέργειες προβολής των φυσικών και πολιτιστικών πόρων</w:t>
            </w:r>
          </w:p>
        </w:tc>
      </w:tr>
      <w:tr w:rsidR="002A2422" w14:paraId="37F28B12" w14:textId="77777777">
        <w:trPr>
          <w:tblHeader/>
        </w:trPr>
        <w:tc>
          <w:tcPr>
            <w:tcW w:w="5000" w:type="pct"/>
            <w:gridSpan w:val="6"/>
            <w:tcBorders>
              <w:bottom w:val="double" w:sz="4" w:space="0" w:color="808080"/>
            </w:tcBorders>
            <w:shd w:val="clear" w:color="auto" w:fill="808080"/>
            <w:vAlign w:val="center"/>
          </w:tcPr>
          <w:p w14:paraId="3C4FE51F" w14:textId="77777777" w:rsidR="002A2422" w:rsidRDefault="003B3AD7">
            <w:pPr>
              <w:jc w:val="center"/>
              <w:rPr>
                <w:rFonts w:ascii="Calibri" w:eastAsia="Calibri" w:hAnsi="Calibri" w:cs="Calibri"/>
                <w:b/>
                <w:bCs/>
                <w:sz w:val="18"/>
                <w:szCs w:val="18"/>
              </w:rPr>
            </w:pPr>
            <w:r>
              <w:rPr>
                <w:rFonts w:ascii="Calibri" w:eastAsia="Calibri" w:hAnsi="Calibri" w:cs="Calibri"/>
                <w:b/>
                <w:sz w:val="18"/>
                <w:szCs w:val="18"/>
                <w:u w:val="single"/>
              </w:rPr>
              <w:t xml:space="preserve">ΑΝΑΠΤΥΞΙΑΚΟΣ ΣΤΟΧΟΣ   ΕΠΑ </w:t>
            </w:r>
            <w:r>
              <w:rPr>
                <w:rFonts w:ascii="Calibri" w:eastAsia="Calibri" w:hAnsi="Calibri" w:cs="Calibri"/>
                <w:b/>
                <w:bCs/>
                <w:sz w:val="18"/>
                <w:szCs w:val="18"/>
                <w:u w:val="single"/>
              </w:rPr>
              <w:t xml:space="preserve"> ΚΟΙΝΩΝΙΚΗ  ΑΝΑΠΤΥΞΗ</w:t>
            </w:r>
          </w:p>
          <w:p w14:paraId="60159B45" w14:textId="77777777" w:rsidR="002A2422" w:rsidRDefault="002A2422">
            <w:pPr>
              <w:jc w:val="center"/>
              <w:rPr>
                <w:rFonts w:ascii="Calibri" w:eastAsia="Times New Roman" w:hAnsi="Calibri" w:cs="Calibri"/>
                <w:b/>
                <w:bCs/>
                <w:sz w:val="18"/>
                <w:szCs w:val="18"/>
              </w:rPr>
            </w:pPr>
          </w:p>
        </w:tc>
      </w:tr>
      <w:tr w:rsidR="002A2422" w14:paraId="6B682C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5" w:type="pct"/>
            <w:tcBorders>
              <w:bottom w:val="double" w:sz="4" w:space="0" w:color="808080"/>
            </w:tcBorders>
            <w:shd w:val="clear" w:color="auto" w:fill="808080"/>
            <w:vAlign w:val="center"/>
          </w:tcPr>
          <w:p w14:paraId="6ECE05AE"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ΠΡΟΤΕΡΑΙΟΤΗΤΑ ΤΠΑ /ΥΠΠΟΑ</w:t>
            </w:r>
          </w:p>
        </w:tc>
        <w:tc>
          <w:tcPr>
            <w:tcW w:w="1768" w:type="pct"/>
            <w:gridSpan w:val="3"/>
            <w:tcBorders>
              <w:bottom w:val="double" w:sz="4" w:space="0" w:color="808080"/>
            </w:tcBorders>
            <w:shd w:val="clear" w:color="auto" w:fill="808080"/>
            <w:vAlign w:val="center"/>
          </w:tcPr>
          <w:p w14:paraId="70BCE3BC"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ΑΝΤΙΣΤΟΙΧΗΣΗ ΜΕ ΠΡΟΤΕΡΑΙΟΤΗΤΑ ΕΠΑ</w:t>
            </w:r>
          </w:p>
        </w:tc>
        <w:tc>
          <w:tcPr>
            <w:tcW w:w="2127" w:type="pct"/>
            <w:gridSpan w:val="2"/>
            <w:tcBorders>
              <w:bottom w:val="double" w:sz="4" w:space="0" w:color="808080"/>
            </w:tcBorders>
            <w:shd w:val="clear" w:color="auto" w:fill="808080"/>
            <w:vAlign w:val="center"/>
          </w:tcPr>
          <w:p w14:paraId="1979A97F" w14:textId="77777777" w:rsidR="002A2422" w:rsidRDefault="003B3AD7">
            <w:pPr>
              <w:spacing w:line="240" w:lineRule="auto"/>
              <w:jc w:val="center"/>
              <w:rPr>
                <w:rFonts w:ascii="Calibri" w:eastAsia="Times New Roman" w:hAnsi="Calibri" w:cs="Calibri"/>
                <w:b/>
                <w:bCs/>
                <w:sz w:val="18"/>
                <w:szCs w:val="18"/>
              </w:rPr>
            </w:pPr>
            <w:r>
              <w:rPr>
                <w:rFonts w:ascii="Calibri" w:eastAsia="Times New Roman" w:hAnsi="Calibri" w:cs="Calibri"/>
                <w:b/>
                <w:bCs/>
                <w:sz w:val="18"/>
                <w:szCs w:val="18"/>
              </w:rPr>
              <w:t>ΠΡΟΤΕΙΝΟΜΕΝΟΙ ΔΕΙΚΤΕΣ</w:t>
            </w:r>
          </w:p>
        </w:tc>
      </w:tr>
      <w:tr w:rsidR="002A2422" w14:paraId="6B2CE6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5" w:type="pct"/>
            <w:shd w:val="clear" w:color="auto" w:fill="auto"/>
          </w:tcPr>
          <w:p w14:paraId="168F6380" w14:textId="77777777" w:rsidR="002A2422" w:rsidRDefault="003B3AD7">
            <w:pPr>
              <w:jc w:val="center"/>
              <w:rPr>
                <w:rFonts w:ascii="Calibri" w:eastAsia="Times New Roman" w:hAnsi="Calibri" w:cs="Calibri"/>
                <w:b/>
                <w:bCs/>
                <w:sz w:val="18"/>
                <w:szCs w:val="18"/>
              </w:rPr>
            </w:pPr>
            <w:r>
              <w:rPr>
                <w:rFonts w:ascii="Calibri" w:eastAsia="Times New Roman" w:hAnsi="Calibri" w:cs="Calibri"/>
                <w:b/>
                <w:bCs/>
                <w:sz w:val="18"/>
                <w:szCs w:val="18"/>
              </w:rPr>
              <w:t>Ενίσχυση υποδομών για βελτίωση της οικονομικής και κοινωνικής ενσωμάτωσης</w:t>
            </w:r>
          </w:p>
        </w:tc>
        <w:tc>
          <w:tcPr>
            <w:tcW w:w="1768" w:type="pct"/>
            <w:gridSpan w:val="3"/>
            <w:shd w:val="clear" w:color="auto" w:fill="auto"/>
          </w:tcPr>
          <w:p w14:paraId="15E8E75D" w14:textId="77777777" w:rsidR="002A2422" w:rsidRDefault="003B3AD7">
            <w:pPr>
              <w:jc w:val="center"/>
              <w:rPr>
                <w:rFonts w:ascii="Calibri" w:hAnsi="Calibri" w:cs="Calibri"/>
                <w:b/>
                <w:bCs/>
                <w:sz w:val="18"/>
                <w:szCs w:val="18"/>
              </w:rPr>
            </w:pPr>
            <w:r>
              <w:rPr>
                <w:rFonts w:ascii="Calibri" w:hAnsi="Calibri" w:cs="Calibri"/>
                <w:b/>
                <w:bCs/>
                <w:sz w:val="18"/>
                <w:szCs w:val="18"/>
              </w:rPr>
              <w:t>3.4</w:t>
            </w:r>
          </w:p>
        </w:tc>
        <w:tc>
          <w:tcPr>
            <w:tcW w:w="2127" w:type="pct"/>
            <w:gridSpan w:val="2"/>
            <w:shd w:val="clear" w:color="auto" w:fill="auto"/>
          </w:tcPr>
          <w:p w14:paraId="2300A7AA" w14:textId="77777777" w:rsidR="002A2422" w:rsidRDefault="003B3AD7">
            <w:pPr>
              <w:pStyle w:val="ad"/>
              <w:numPr>
                <w:ilvl w:val="0"/>
                <w:numId w:val="17"/>
              </w:numPr>
              <w:spacing w:line="240" w:lineRule="auto"/>
              <w:jc w:val="center"/>
              <w:rPr>
                <w:rFonts w:ascii="Calibri" w:eastAsia="Times New Roman" w:hAnsi="Calibri" w:cs="Calibri"/>
                <w:b/>
                <w:bCs/>
                <w:sz w:val="18"/>
                <w:szCs w:val="18"/>
              </w:rPr>
            </w:pPr>
            <w:r>
              <w:rPr>
                <w:rFonts w:ascii="Calibri" w:eastAsia="Times New Roman" w:hAnsi="Calibri" w:cs="Calibri"/>
                <w:sz w:val="18"/>
                <w:szCs w:val="18"/>
              </w:rPr>
              <w:t>Αριθμός έργων και δράσεων υποστήριξης ΑΜΕΑ και άλλων ευάλωτων κοινωνικών ομάδων</w:t>
            </w:r>
          </w:p>
        </w:tc>
      </w:tr>
      <w:tr w:rsidR="002A2422" w14:paraId="65E29A7C" w14:textId="77777777">
        <w:trPr>
          <w:tblHeader/>
        </w:trPr>
        <w:tc>
          <w:tcPr>
            <w:tcW w:w="5000" w:type="pct"/>
            <w:gridSpan w:val="6"/>
            <w:tcBorders>
              <w:bottom w:val="double" w:sz="4" w:space="0" w:color="808080"/>
            </w:tcBorders>
            <w:shd w:val="clear" w:color="auto" w:fill="808080"/>
            <w:vAlign w:val="center"/>
          </w:tcPr>
          <w:p w14:paraId="3486EF6A" w14:textId="77777777" w:rsidR="002A2422" w:rsidRDefault="003B3AD7">
            <w:pPr>
              <w:ind w:left="360"/>
              <w:jc w:val="center"/>
              <w:rPr>
                <w:rFonts w:ascii="Calibri" w:eastAsia="Calibri" w:hAnsi="Calibri" w:cs="Calibri"/>
                <w:b/>
                <w:bCs/>
                <w:sz w:val="18"/>
                <w:szCs w:val="18"/>
              </w:rPr>
            </w:pPr>
            <w:r>
              <w:rPr>
                <w:rFonts w:ascii="Calibri" w:eastAsia="Calibri" w:hAnsi="Calibri" w:cs="Calibri"/>
                <w:b/>
                <w:sz w:val="18"/>
                <w:szCs w:val="18"/>
                <w:u w:val="single"/>
              </w:rPr>
              <w:t>ΑΝΑΠΤΥΞΙΑΚΟΣ ΣΤΟΧΟΣ ΕΠΑ   ΕΝΙΣΧΥΣΗ ΕΞΩΣΤΡΕΦΕΙΑΣ</w:t>
            </w:r>
          </w:p>
          <w:p w14:paraId="379B8FA6" w14:textId="77777777" w:rsidR="002A2422" w:rsidRDefault="002A2422">
            <w:pPr>
              <w:jc w:val="center"/>
              <w:rPr>
                <w:rFonts w:ascii="Calibri" w:eastAsia="Times New Roman" w:hAnsi="Calibri" w:cs="Calibri"/>
                <w:b/>
                <w:bCs/>
                <w:sz w:val="18"/>
                <w:szCs w:val="18"/>
              </w:rPr>
            </w:pPr>
          </w:p>
        </w:tc>
      </w:tr>
      <w:tr w:rsidR="002A2422" w14:paraId="3EBC12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5" w:type="pct"/>
            <w:shd w:val="clear" w:color="auto" w:fill="auto"/>
          </w:tcPr>
          <w:p w14:paraId="414D7651"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ΠΡΟΤΕΡΑΙΟΤΗΤΑ ΤΠΑ /ΥΠΠΟΑ</w:t>
            </w:r>
          </w:p>
        </w:tc>
        <w:tc>
          <w:tcPr>
            <w:tcW w:w="1768" w:type="pct"/>
            <w:gridSpan w:val="3"/>
            <w:shd w:val="clear" w:color="auto" w:fill="auto"/>
          </w:tcPr>
          <w:p w14:paraId="53C0D126"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ΑΝΤΙΣΤΟΙΧΗΣΗ ΜΕ ΠΡΟΤΕΡΑΙΟΤΗΤΑ ΕΠΑ</w:t>
            </w:r>
          </w:p>
        </w:tc>
        <w:tc>
          <w:tcPr>
            <w:tcW w:w="2127" w:type="pct"/>
            <w:gridSpan w:val="2"/>
            <w:shd w:val="clear" w:color="auto" w:fill="auto"/>
          </w:tcPr>
          <w:p w14:paraId="272482D6" w14:textId="77777777" w:rsidR="002A2422" w:rsidRDefault="003B3AD7">
            <w:pPr>
              <w:jc w:val="center"/>
              <w:rPr>
                <w:rFonts w:ascii="Calibri" w:eastAsia="Calibri" w:hAnsi="Calibri" w:cs="Calibri"/>
                <w:sz w:val="18"/>
                <w:szCs w:val="18"/>
              </w:rPr>
            </w:pPr>
            <w:r>
              <w:rPr>
                <w:rFonts w:ascii="Calibri" w:eastAsia="Times New Roman" w:hAnsi="Calibri" w:cs="Calibri"/>
                <w:b/>
                <w:bCs/>
                <w:sz w:val="18"/>
                <w:szCs w:val="18"/>
              </w:rPr>
              <w:t>ΠΡΟΤΕΙΝΟΜΕΝΟΙ ΔΕΙΚΤΕΣ</w:t>
            </w:r>
          </w:p>
        </w:tc>
      </w:tr>
      <w:tr w:rsidR="002A2422" w14:paraId="715F8E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5" w:type="pct"/>
            <w:shd w:val="clear" w:color="auto" w:fill="auto"/>
          </w:tcPr>
          <w:p w14:paraId="500C588E" w14:textId="77777777" w:rsidR="002A2422" w:rsidRDefault="003B3AD7">
            <w:pPr>
              <w:jc w:val="center"/>
              <w:rPr>
                <w:rFonts w:ascii="Calibri" w:eastAsia="Times New Roman" w:hAnsi="Calibri" w:cs="Calibri"/>
                <w:b/>
                <w:bCs/>
                <w:sz w:val="18"/>
                <w:szCs w:val="18"/>
              </w:rPr>
            </w:pPr>
            <w:r>
              <w:rPr>
                <w:rFonts w:ascii="Calibri" w:eastAsia="Times New Roman" w:hAnsi="Calibri" w:cs="Calibri"/>
                <w:b/>
                <w:bCs/>
                <w:sz w:val="18"/>
                <w:szCs w:val="18"/>
              </w:rPr>
              <w:t>Προστασία και ανάδειξη μνημείων, αρχαιολογικών χώρων και τόπων ιστορικού ενδιαφέροντος</w:t>
            </w:r>
          </w:p>
        </w:tc>
        <w:tc>
          <w:tcPr>
            <w:tcW w:w="1768" w:type="pct"/>
            <w:gridSpan w:val="3"/>
            <w:shd w:val="clear" w:color="auto" w:fill="auto"/>
          </w:tcPr>
          <w:p w14:paraId="04AE1A67"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5.3</w:t>
            </w:r>
          </w:p>
        </w:tc>
        <w:tc>
          <w:tcPr>
            <w:tcW w:w="2127" w:type="pct"/>
            <w:gridSpan w:val="2"/>
            <w:shd w:val="clear" w:color="auto" w:fill="auto"/>
          </w:tcPr>
          <w:p w14:paraId="26379A97" w14:textId="77777777" w:rsidR="002A2422" w:rsidRDefault="003B3AD7">
            <w:pPr>
              <w:pStyle w:val="ad"/>
              <w:numPr>
                <w:ilvl w:val="0"/>
                <w:numId w:val="18"/>
              </w:numPr>
              <w:spacing w:line="240" w:lineRule="auto"/>
              <w:jc w:val="center"/>
              <w:rPr>
                <w:rFonts w:ascii="Calibri" w:eastAsia="Times New Roman" w:hAnsi="Calibri" w:cs="Calibri"/>
                <w:sz w:val="18"/>
                <w:szCs w:val="18"/>
              </w:rPr>
            </w:pPr>
            <w:r>
              <w:rPr>
                <w:rFonts w:ascii="Calibri" w:eastAsia="Times New Roman" w:hAnsi="Calibri" w:cs="Calibri"/>
                <w:sz w:val="18"/>
                <w:szCs w:val="18"/>
              </w:rPr>
              <w:t>Αρχαιολογικοί χώροι που λειτουργούν με διευρυμένο ωράριο, ως % του συνόλου</w:t>
            </w:r>
          </w:p>
          <w:p w14:paraId="3E325D09" w14:textId="77777777" w:rsidR="002A2422" w:rsidRDefault="002A2422">
            <w:pPr>
              <w:pStyle w:val="ad"/>
              <w:ind w:left="0"/>
              <w:rPr>
                <w:rFonts w:ascii="Calibri" w:eastAsia="Times New Roman" w:hAnsi="Calibri" w:cs="Calibri"/>
                <w:sz w:val="18"/>
                <w:szCs w:val="18"/>
              </w:rPr>
            </w:pPr>
          </w:p>
          <w:p w14:paraId="2D27F55E" w14:textId="77777777" w:rsidR="002A2422" w:rsidRDefault="003B3AD7">
            <w:pPr>
              <w:pStyle w:val="ad"/>
              <w:numPr>
                <w:ilvl w:val="0"/>
                <w:numId w:val="18"/>
              </w:numPr>
              <w:spacing w:line="240" w:lineRule="auto"/>
              <w:jc w:val="center"/>
              <w:rPr>
                <w:rFonts w:ascii="Calibri" w:eastAsia="Times New Roman" w:hAnsi="Calibri" w:cs="Calibri"/>
                <w:sz w:val="18"/>
                <w:szCs w:val="18"/>
              </w:rPr>
            </w:pPr>
            <w:r>
              <w:rPr>
                <w:rFonts w:ascii="Calibri" w:eastAsia="Times New Roman" w:hAnsi="Calibri" w:cs="Calibri"/>
                <w:sz w:val="18"/>
                <w:szCs w:val="18"/>
              </w:rPr>
              <w:t>Αναβάθμιση, προστασία και ανάδειξη χώρων πολιτιστικής κληρονομιάς</w:t>
            </w:r>
          </w:p>
          <w:p w14:paraId="70FCDB7B" w14:textId="77777777" w:rsidR="002A2422" w:rsidRDefault="002A2422">
            <w:pPr>
              <w:pStyle w:val="ad"/>
              <w:rPr>
                <w:rFonts w:ascii="Calibri" w:eastAsia="Times New Roman" w:hAnsi="Calibri" w:cs="Calibri"/>
                <w:sz w:val="18"/>
                <w:szCs w:val="18"/>
              </w:rPr>
            </w:pPr>
          </w:p>
          <w:p w14:paraId="2F7CF0B3" w14:textId="77777777" w:rsidR="002A2422" w:rsidRDefault="003B3AD7">
            <w:pPr>
              <w:pStyle w:val="ad"/>
              <w:numPr>
                <w:ilvl w:val="0"/>
                <w:numId w:val="18"/>
              </w:numPr>
              <w:spacing w:line="240" w:lineRule="auto"/>
              <w:jc w:val="center"/>
              <w:rPr>
                <w:rFonts w:ascii="Calibri" w:eastAsia="Times New Roman" w:hAnsi="Calibri" w:cs="Calibri"/>
                <w:sz w:val="18"/>
                <w:szCs w:val="18"/>
              </w:rPr>
            </w:pPr>
            <w:r>
              <w:rPr>
                <w:rFonts w:ascii="Calibri" w:eastAsia="Times New Roman" w:hAnsi="Calibri" w:cs="Calibri"/>
                <w:sz w:val="18"/>
                <w:szCs w:val="18"/>
              </w:rPr>
              <w:t>Δράσεις αξιοποίησης και ανάδειξης φυσικής και πολιτιστικής κληρονομιάς</w:t>
            </w:r>
          </w:p>
          <w:p w14:paraId="672AD5F9" w14:textId="77777777" w:rsidR="002A2422" w:rsidRDefault="002A2422">
            <w:pPr>
              <w:widowControl w:val="0"/>
              <w:autoSpaceDE w:val="0"/>
              <w:autoSpaceDN w:val="0"/>
              <w:adjustRightInd w:val="0"/>
              <w:spacing w:before="40" w:after="40"/>
              <w:ind w:left="318"/>
              <w:jc w:val="center"/>
              <w:rPr>
                <w:rFonts w:ascii="Calibri" w:eastAsia="Times New Roman" w:hAnsi="Calibri" w:cs="Calibri"/>
                <w:sz w:val="18"/>
                <w:szCs w:val="18"/>
              </w:rPr>
            </w:pPr>
          </w:p>
        </w:tc>
      </w:tr>
      <w:tr w:rsidR="002A2422" w14:paraId="3EEBE0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5" w:type="pct"/>
            <w:shd w:val="clear" w:color="auto" w:fill="auto"/>
          </w:tcPr>
          <w:p w14:paraId="79DFCF3C" w14:textId="77777777" w:rsidR="002A2422" w:rsidRDefault="003B3AD7">
            <w:pPr>
              <w:jc w:val="center"/>
              <w:rPr>
                <w:rFonts w:ascii="Calibri" w:eastAsia="Times New Roman" w:hAnsi="Calibri" w:cs="Calibri"/>
                <w:b/>
                <w:bCs/>
                <w:sz w:val="18"/>
                <w:szCs w:val="18"/>
              </w:rPr>
            </w:pPr>
            <w:r>
              <w:rPr>
                <w:rFonts w:ascii="Calibri" w:eastAsia="Times New Roman" w:hAnsi="Calibri" w:cs="Calibri"/>
                <w:b/>
                <w:bCs/>
                <w:sz w:val="18"/>
                <w:szCs w:val="18"/>
              </w:rPr>
              <w:t>Προστασία, ανάπτυξη και προβολή της πολιτιστικής κληρονομιάς</w:t>
            </w:r>
          </w:p>
          <w:p w14:paraId="1A1E295C" w14:textId="77777777" w:rsidR="002A2422" w:rsidRDefault="002A2422">
            <w:pPr>
              <w:jc w:val="center"/>
              <w:rPr>
                <w:rFonts w:ascii="Calibri" w:eastAsia="Times New Roman" w:hAnsi="Calibri" w:cs="Calibri"/>
                <w:b/>
                <w:bCs/>
                <w:sz w:val="18"/>
                <w:szCs w:val="18"/>
              </w:rPr>
            </w:pPr>
          </w:p>
        </w:tc>
        <w:tc>
          <w:tcPr>
            <w:tcW w:w="1768" w:type="pct"/>
            <w:gridSpan w:val="3"/>
            <w:shd w:val="clear" w:color="auto" w:fill="auto"/>
          </w:tcPr>
          <w:p w14:paraId="12256BF1" w14:textId="77777777" w:rsidR="002A2422" w:rsidRDefault="003B3AD7">
            <w:pPr>
              <w:jc w:val="center"/>
              <w:rPr>
                <w:rFonts w:ascii="Calibri" w:hAnsi="Calibri" w:cs="Calibri"/>
                <w:b/>
                <w:bCs/>
                <w:sz w:val="18"/>
                <w:szCs w:val="18"/>
              </w:rPr>
            </w:pPr>
            <w:r>
              <w:rPr>
                <w:rFonts w:ascii="Calibri" w:hAnsi="Calibri" w:cs="Calibri"/>
                <w:b/>
                <w:bCs/>
                <w:sz w:val="18"/>
                <w:szCs w:val="18"/>
              </w:rPr>
              <w:t>5.4</w:t>
            </w:r>
          </w:p>
          <w:p w14:paraId="40AAB4E6" w14:textId="77777777" w:rsidR="002A2422" w:rsidRDefault="002A2422">
            <w:pPr>
              <w:autoSpaceDE w:val="0"/>
              <w:autoSpaceDN w:val="0"/>
              <w:adjustRightInd w:val="0"/>
              <w:jc w:val="center"/>
              <w:rPr>
                <w:rFonts w:ascii="Calibri" w:eastAsia="Times New Roman" w:hAnsi="Calibri" w:cs="Calibri"/>
                <w:b/>
                <w:bCs/>
                <w:sz w:val="18"/>
                <w:szCs w:val="18"/>
              </w:rPr>
            </w:pPr>
          </w:p>
        </w:tc>
        <w:tc>
          <w:tcPr>
            <w:tcW w:w="2127" w:type="pct"/>
            <w:gridSpan w:val="2"/>
            <w:shd w:val="clear" w:color="auto" w:fill="auto"/>
          </w:tcPr>
          <w:p w14:paraId="6FEAA5CE" w14:textId="77777777" w:rsidR="002A2422" w:rsidRDefault="003B3AD7">
            <w:pPr>
              <w:pStyle w:val="ad"/>
              <w:numPr>
                <w:ilvl w:val="0"/>
                <w:numId w:val="14"/>
              </w:numPr>
              <w:spacing w:line="240" w:lineRule="auto"/>
              <w:jc w:val="center"/>
              <w:rPr>
                <w:rFonts w:ascii="Calibri" w:eastAsia="Times New Roman" w:hAnsi="Calibri" w:cs="Calibri"/>
                <w:sz w:val="18"/>
                <w:szCs w:val="18"/>
              </w:rPr>
            </w:pPr>
            <w:r>
              <w:rPr>
                <w:rFonts w:ascii="Calibri" w:eastAsia="Times New Roman" w:hAnsi="Calibri" w:cs="Calibri"/>
                <w:sz w:val="18"/>
                <w:szCs w:val="18"/>
              </w:rPr>
              <w:t>% του συνόλου των μουσείων με δυνατότητες ψηφιακής ξενάγησης</w:t>
            </w:r>
          </w:p>
          <w:p w14:paraId="17E7D044" w14:textId="77777777" w:rsidR="002A2422" w:rsidRDefault="003B3AD7">
            <w:pPr>
              <w:pStyle w:val="ad"/>
              <w:numPr>
                <w:ilvl w:val="0"/>
                <w:numId w:val="14"/>
              </w:numPr>
              <w:spacing w:line="240" w:lineRule="auto"/>
              <w:jc w:val="center"/>
              <w:rPr>
                <w:rFonts w:ascii="Calibri" w:eastAsia="Times New Roman" w:hAnsi="Calibri" w:cs="Calibri"/>
                <w:sz w:val="18"/>
                <w:szCs w:val="18"/>
              </w:rPr>
            </w:pPr>
            <w:r>
              <w:rPr>
                <w:rFonts w:ascii="Calibri" w:eastAsia="Times New Roman" w:hAnsi="Calibri" w:cs="Calibri"/>
                <w:sz w:val="18"/>
                <w:szCs w:val="18"/>
              </w:rPr>
              <w:t>Αναβάθμιση, προστασία και ανάδειξη χώρων πολιτιστικής κληρονομιάς</w:t>
            </w:r>
          </w:p>
          <w:p w14:paraId="332D8111" w14:textId="77777777" w:rsidR="002A2422" w:rsidRDefault="003B3AD7">
            <w:pPr>
              <w:pStyle w:val="ad"/>
              <w:numPr>
                <w:ilvl w:val="0"/>
                <w:numId w:val="14"/>
              </w:numPr>
              <w:spacing w:line="240" w:lineRule="auto"/>
              <w:jc w:val="center"/>
              <w:rPr>
                <w:rFonts w:ascii="Calibri" w:eastAsia="Times New Roman" w:hAnsi="Calibri" w:cs="Calibri"/>
                <w:sz w:val="18"/>
                <w:szCs w:val="18"/>
              </w:rPr>
            </w:pPr>
            <w:r>
              <w:rPr>
                <w:rFonts w:ascii="Calibri" w:eastAsia="Times New Roman" w:hAnsi="Calibri" w:cs="Calibri"/>
                <w:sz w:val="18"/>
                <w:szCs w:val="18"/>
              </w:rPr>
              <w:t>Ενέργειες προβολής φυσικής και πολιτιστικής κληρονομιάς</w:t>
            </w:r>
          </w:p>
          <w:p w14:paraId="73BD4423" w14:textId="77777777" w:rsidR="002A2422" w:rsidRDefault="002A2422">
            <w:pPr>
              <w:pStyle w:val="ad"/>
              <w:spacing w:line="240" w:lineRule="auto"/>
              <w:jc w:val="center"/>
              <w:rPr>
                <w:rFonts w:ascii="Calibri" w:eastAsia="Times New Roman" w:hAnsi="Calibri" w:cs="Calibri"/>
                <w:b/>
                <w:bCs/>
                <w:sz w:val="18"/>
                <w:szCs w:val="18"/>
              </w:rPr>
            </w:pPr>
          </w:p>
        </w:tc>
      </w:tr>
      <w:tr w:rsidR="002A2422" w14:paraId="198781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5" w:type="pct"/>
            <w:shd w:val="clear" w:color="auto" w:fill="auto"/>
          </w:tcPr>
          <w:p w14:paraId="7A045372" w14:textId="77777777" w:rsidR="002A2422" w:rsidRDefault="003B3AD7">
            <w:pPr>
              <w:autoSpaceDE w:val="0"/>
              <w:autoSpaceDN w:val="0"/>
              <w:adjustRightInd w:val="0"/>
              <w:jc w:val="center"/>
              <w:rPr>
                <w:rFonts w:ascii="Calibri" w:eastAsia="Times New Roman" w:hAnsi="Calibri" w:cs="Calibri"/>
                <w:sz w:val="18"/>
                <w:szCs w:val="18"/>
              </w:rPr>
            </w:pPr>
            <w:proofErr w:type="spellStart"/>
            <w:r>
              <w:rPr>
                <w:rFonts w:ascii="Calibri" w:eastAsia="Times New Roman" w:hAnsi="Calibri" w:cs="Calibri"/>
                <w:b/>
                <w:bCs/>
                <w:sz w:val="18"/>
                <w:szCs w:val="18"/>
                <w:lang w:val="en-US"/>
              </w:rPr>
              <w:t>Μουσεί</w:t>
            </w:r>
            <w:proofErr w:type="spellEnd"/>
            <w:r>
              <w:rPr>
                <w:rFonts w:ascii="Calibri" w:eastAsia="Times New Roman" w:hAnsi="Calibri" w:cs="Calibri"/>
                <w:b/>
                <w:bCs/>
                <w:sz w:val="18"/>
                <w:szCs w:val="18"/>
                <w:lang w:val="en-US"/>
              </w:rPr>
              <w:t xml:space="preserve">α και </w:t>
            </w:r>
            <w:proofErr w:type="spellStart"/>
            <w:r>
              <w:rPr>
                <w:rFonts w:ascii="Calibri" w:eastAsia="Times New Roman" w:hAnsi="Calibri" w:cs="Calibri"/>
                <w:b/>
                <w:bCs/>
                <w:sz w:val="18"/>
                <w:szCs w:val="18"/>
                <w:lang w:val="en-US"/>
              </w:rPr>
              <w:t>Πολιτιστικά</w:t>
            </w:r>
            <w:proofErr w:type="spellEnd"/>
            <w:r>
              <w:rPr>
                <w:rFonts w:ascii="Calibri" w:eastAsia="Times New Roman" w:hAnsi="Calibri" w:cs="Calibri"/>
                <w:b/>
                <w:bCs/>
                <w:sz w:val="18"/>
                <w:szCs w:val="18"/>
                <w:lang w:val="en-US"/>
              </w:rPr>
              <w:t xml:space="preserve"> </w:t>
            </w:r>
            <w:proofErr w:type="spellStart"/>
            <w:r>
              <w:rPr>
                <w:rFonts w:ascii="Calibri" w:eastAsia="Times New Roman" w:hAnsi="Calibri" w:cs="Calibri"/>
                <w:b/>
                <w:bCs/>
                <w:sz w:val="18"/>
                <w:szCs w:val="18"/>
                <w:lang w:val="en-US"/>
              </w:rPr>
              <w:t>Κέντρ</w:t>
            </w:r>
            <w:proofErr w:type="spellEnd"/>
            <w:r>
              <w:rPr>
                <w:rFonts w:ascii="Calibri" w:eastAsia="Times New Roman" w:hAnsi="Calibri" w:cs="Calibri"/>
                <w:b/>
                <w:bCs/>
                <w:sz w:val="18"/>
                <w:szCs w:val="18"/>
                <w:lang w:val="en-US"/>
              </w:rPr>
              <w:t>α</w:t>
            </w:r>
          </w:p>
        </w:tc>
        <w:tc>
          <w:tcPr>
            <w:tcW w:w="1768" w:type="pct"/>
            <w:gridSpan w:val="3"/>
            <w:shd w:val="clear" w:color="auto" w:fill="auto"/>
          </w:tcPr>
          <w:p w14:paraId="13023D98" w14:textId="77777777" w:rsidR="002A2422" w:rsidRDefault="003B3AD7">
            <w:pPr>
              <w:jc w:val="center"/>
              <w:rPr>
                <w:rFonts w:ascii="Calibri" w:eastAsia="Times New Roman" w:hAnsi="Calibri" w:cs="Calibri"/>
                <w:b/>
                <w:bCs/>
                <w:sz w:val="18"/>
                <w:szCs w:val="18"/>
              </w:rPr>
            </w:pPr>
            <w:r>
              <w:rPr>
                <w:rFonts w:ascii="Calibri" w:eastAsia="Times New Roman" w:hAnsi="Calibri" w:cs="Calibri"/>
                <w:b/>
                <w:bCs/>
                <w:sz w:val="18"/>
                <w:szCs w:val="18"/>
              </w:rPr>
              <w:t>5.5</w:t>
            </w:r>
          </w:p>
        </w:tc>
        <w:tc>
          <w:tcPr>
            <w:tcW w:w="2127" w:type="pct"/>
            <w:gridSpan w:val="2"/>
            <w:shd w:val="clear" w:color="auto" w:fill="auto"/>
          </w:tcPr>
          <w:p w14:paraId="5801A963" w14:textId="77777777" w:rsidR="002A2422" w:rsidRDefault="003B3AD7">
            <w:pPr>
              <w:pStyle w:val="ad"/>
              <w:numPr>
                <w:ilvl w:val="0"/>
                <w:numId w:val="14"/>
              </w:numPr>
              <w:spacing w:line="240" w:lineRule="auto"/>
              <w:jc w:val="center"/>
              <w:rPr>
                <w:rFonts w:ascii="Calibri" w:eastAsia="Times New Roman" w:hAnsi="Calibri"/>
                <w:sz w:val="18"/>
                <w:szCs w:val="18"/>
              </w:rPr>
            </w:pPr>
            <w:r>
              <w:rPr>
                <w:rFonts w:ascii="Calibri" w:eastAsia="Times New Roman" w:hAnsi="Calibri"/>
                <w:sz w:val="18"/>
                <w:szCs w:val="18"/>
              </w:rPr>
              <w:t>Κτίρια που αποκαθίστανται / αναδεικνύονται</w:t>
            </w:r>
          </w:p>
          <w:p w14:paraId="52CC2B82" w14:textId="77777777" w:rsidR="002A2422" w:rsidRDefault="003B3AD7">
            <w:pPr>
              <w:pStyle w:val="ad"/>
              <w:numPr>
                <w:ilvl w:val="0"/>
                <w:numId w:val="14"/>
              </w:numPr>
              <w:spacing w:line="240" w:lineRule="auto"/>
              <w:jc w:val="center"/>
              <w:rPr>
                <w:rFonts w:ascii="Calibri" w:eastAsia="Times New Roman" w:hAnsi="Calibri"/>
                <w:sz w:val="18"/>
                <w:szCs w:val="18"/>
              </w:rPr>
            </w:pPr>
            <w:r>
              <w:rPr>
                <w:rFonts w:ascii="Calibri" w:eastAsia="Times New Roman" w:hAnsi="Calibri"/>
                <w:sz w:val="18"/>
                <w:szCs w:val="18"/>
              </w:rPr>
              <w:t>Αριθμός πολιτιστικών και καλλιτεχνικών θεσμών που ενισχύονται</w:t>
            </w:r>
          </w:p>
          <w:p w14:paraId="7DADED52" w14:textId="77777777" w:rsidR="002A2422" w:rsidRDefault="003B3AD7">
            <w:pPr>
              <w:pStyle w:val="ad"/>
              <w:numPr>
                <w:ilvl w:val="0"/>
                <w:numId w:val="14"/>
              </w:numPr>
              <w:spacing w:line="240" w:lineRule="auto"/>
              <w:jc w:val="center"/>
              <w:rPr>
                <w:rFonts w:ascii="Calibri" w:eastAsia="Times New Roman" w:hAnsi="Calibri"/>
                <w:sz w:val="18"/>
                <w:szCs w:val="18"/>
              </w:rPr>
            </w:pPr>
            <w:r>
              <w:rPr>
                <w:rFonts w:ascii="Calibri" w:eastAsia="Times New Roman" w:hAnsi="Calibri"/>
                <w:sz w:val="18"/>
                <w:szCs w:val="18"/>
              </w:rPr>
              <w:t xml:space="preserve">Συνολικός αριθμός συμμετεχόντων σε εκδηλώσεις πολιτιστικού περιεχομένου (Φεστιβάλ, Εκθέσεις σύγχρονου πολιτισμού </w:t>
            </w:r>
            <w:proofErr w:type="spellStart"/>
            <w:r>
              <w:rPr>
                <w:rFonts w:ascii="Calibri" w:eastAsia="Times New Roman" w:hAnsi="Calibri"/>
                <w:sz w:val="18"/>
                <w:szCs w:val="18"/>
              </w:rPr>
              <w:t>κ.λ.π</w:t>
            </w:r>
            <w:proofErr w:type="spellEnd"/>
            <w:r>
              <w:rPr>
                <w:rFonts w:ascii="Calibri" w:eastAsia="Times New Roman" w:hAnsi="Calibri"/>
                <w:sz w:val="18"/>
                <w:szCs w:val="18"/>
              </w:rPr>
              <w:t>.)</w:t>
            </w:r>
          </w:p>
          <w:p w14:paraId="14764D7D" w14:textId="77777777" w:rsidR="002A2422" w:rsidRDefault="002A2422">
            <w:pPr>
              <w:pStyle w:val="ad"/>
              <w:spacing w:line="240" w:lineRule="auto"/>
              <w:rPr>
                <w:rFonts w:ascii="Calibri" w:eastAsia="Times New Roman" w:hAnsi="Calibri"/>
                <w:sz w:val="18"/>
                <w:szCs w:val="18"/>
              </w:rPr>
            </w:pPr>
          </w:p>
        </w:tc>
      </w:tr>
      <w:tr w:rsidR="002A2422" w14:paraId="069FB05F" w14:textId="77777777">
        <w:trPr>
          <w:tblHeader/>
        </w:trPr>
        <w:tc>
          <w:tcPr>
            <w:tcW w:w="5000" w:type="pct"/>
            <w:gridSpan w:val="6"/>
            <w:tcBorders>
              <w:bottom w:val="double" w:sz="4" w:space="0" w:color="808080"/>
            </w:tcBorders>
            <w:shd w:val="clear" w:color="auto" w:fill="808080"/>
            <w:vAlign w:val="center"/>
          </w:tcPr>
          <w:p w14:paraId="7E6F15AE"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u w:val="single"/>
              </w:rPr>
              <w:t xml:space="preserve">ΑΝΑΠΤΥΞΙΑΚΟΣ ΣΤΟΧΟΣ   ΕΠΑ </w:t>
            </w:r>
            <w:r>
              <w:rPr>
                <w:rFonts w:ascii="Calibri" w:eastAsia="Calibri" w:hAnsi="Calibri" w:cs="Calibri"/>
                <w:b/>
                <w:bCs/>
                <w:sz w:val="18"/>
                <w:szCs w:val="18"/>
                <w:u w:val="single"/>
              </w:rPr>
              <w:t xml:space="preserve"> ΥΠΟΣΤΗΡΙΞΗ ΠΡΟΓΡΑΜΜΑΤΩΝ</w:t>
            </w:r>
          </w:p>
        </w:tc>
      </w:tr>
      <w:tr w:rsidR="002A2422" w14:paraId="19EC21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5" w:type="pct"/>
            <w:shd w:val="clear" w:color="auto" w:fill="auto"/>
          </w:tcPr>
          <w:p w14:paraId="373DDF3D"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lastRenderedPageBreak/>
              <w:t>ΠΡΟΤΕΡΑΙΟΤΗΤΑ ΤΠΑ /ΥΠΠΟΑ</w:t>
            </w:r>
          </w:p>
        </w:tc>
        <w:tc>
          <w:tcPr>
            <w:tcW w:w="1768" w:type="pct"/>
            <w:gridSpan w:val="3"/>
            <w:shd w:val="clear" w:color="auto" w:fill="auto"/>
          </w:tcPr>
          <w:p w14:paraId="5BA9FFE0"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ΑΝΤΙΣΤΟΙΧΗΣΗ ΜΕ ΠΡΟΤΕΡΑΙΟΤΗΤΑ ΕΠΑ</w:t>
            </w:r>
          </w:p>
        </w:tc>
        <w:tc>
          <w:tcPr>
            <w:tcW w:w="2127" w:type="pct"/>
            <w:gridSpan w:val="2"/>
            <w:shd w:val="clear" w:color="auto" w:fill="auto"/>
          </w:tcPr>
          <w:p w14:paraId="23CA109D" w14:textId="77777777" w:rsidR="002A2422" w:rsidRDefault="003B3AD7">
            <w:pPr>
              <w:jc w:val="center"/>
              <w:rPr>
                <w:rFonts w:ascii="Calibri" w:eastAsia="Calibri" w:hAnsi="Calibri" w:cs="Calibri"/>
                <w:sz w:val="18"/>
                <w:szCs w:val="18"/>
              </w:rPr>
            </w:pPr>
            <w:r>
              <w:rPr>
                <w:rFonts w:ascii="Calibri" w:eastAsia="Times New Roman" w:hAnsi="Calibri" w:cs="Calibri"/>
                <w:b/>
                <w:bCs/>
                <w:sz w:val="18"/>
                <w:szCs w:val="18"/>
              </w:rPr>
              <w:t>ΠΡΟΤΕΙΝΟΜΕΝΟΙ ΔΕΙΚΤΕΣ</w:t>
            </w:r>
          </w:p>
        </w:tc>
      </w:tr>
      <w:tr w:rsidR="002A2422" w14:paraId="705C05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5" w:type="pct"/>
            <w:shd w:val="clear" w:color="auto" w:fill="auto"/>
          </w:tcPr>
          <w:p w14:paraId="12CE8D90"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Calibri" w:hAnsi="Calibri" w:cs="Calibri"/>
                <w:b/>
                <w:bCs/>
                <w:sz w:val="18"/>
                <w:szCs w:val="18"/>
              </w:rPr>
              <w:t>Υποστήριξη Προγραμμάτων</w:t>
            </w:r>
          </w:p>
        </w:tc>
        <w:tc>
          <w:tcPr>
            <w:tcW w:w="1768" w:type="pct"/>
            <w:gridSpan w:val="3"/>
            <w:shd w:val="clear" w:color="auto" w:fill="auto"/>
          </w:tcPr>
          <w:p w14:paraId="1919812A"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6.1</w:t>
            </w:r>
          </w:p>
        </w:tc>
        <w:tc>
          <w:tcPr>
            <w:tcW w:w="2127" w:type="pct"/>
            <w:gridSpan w:val="2"/>
            <w:shd w:val="clear" w:color="auto" w:fill="auto"/>
          </w:tcPr>
          <w:p w14:paraId="027CF669" w14:textId="77777777" w:rsidR="002A2422" w:rsidRDefault="003B3AD7">
            <w:pPr>
              <w:pStyle w:val="ad"/>
              <w:numPr>
                <w:ilvl w:val="0"/>
                <w:numId w:val="14"/>
              </w:numPr>
              <w:spacing w:line="240" w:lineRule="auto"/>
              <w:jc w:val="center"/>
              <w:rPr>
                <w:rFonts w:ascii="Calibri" w:eastAsia="Times New Roman" w:hAnsi="Calibri" w:cs="Calibri"/>
                <w:sz w:val="18"/>
                <w:szCs w:val="18"/>
              </w:rPr>
            </w:pPr>
            <w:r>
              <w:rPr>
                <w:rFonts w:ascii="Calibri" w:eastAsia="Times New Roman" w:hAnsi="Calibri" w:cs="Calibri"/>
                <w:sz w:val="18"/>
                <w:szCs w:val="18"/>
              </w:rPr>
              <w:t>Υποστηρικτικά εργαλεία για την οργάνωση/διαχείριση που δημιουργούνται ή αναβαθμίζονται</w:t>
            </w:r>
          </w:p>
          <w:p w14:paraId="0F05DEEF" w14:textId="77777777" w:rsidR="002A2422" w:rsidRDefault="003B3AD7">
            <w:pPr>
              <w:pStyle w:val="ad"/>
              <w:numPr>
                <w:ilvl w:val="0"/>
                <w:numId w:val="14"/>
              </w:numPr>
              <w:spacing w:line="240" w:lineRule="auto"/>
              <w:jc w:val="center"/>
              <w:rPr>
                <w:rFonts w:ascii="Calibri" w:eastAsia="Times New Roman" w:hAnsi="Calibri" w:cs="Calibri"/>
                <w:sz w:val="18"/>
                <w:szCs w:val="18"/>
              </w:rPr>
            </w:pPr>
            <w:r>
              <w:rPr>
                <w:rFonts w:ascii="Calibri" w:eastAsia="Times New Roman" w:hAnsi="Calibri" w:cs="Calibri"/>
                <w:sz w:val="18"/>
                <w:szCs w:val="18"/>
              </w:rPr>
              <w:t>Δικαιούχοι, φορείς που υποστηρίζονται</w:t>
            </w:r>
          </w:p>
          <w:p w14:paraId="6F46208F" w14:textId="77777777" w:rsidR="002A2422" w:rsidRDefault="003B3AD7">
            <w:pPr>
              <w:pStyle w:val="ad"/>
              <w:numPr>
                <w:ilvl w:val="0"/>
                <w:numId w:val="14"/>
              </w:numPr>
              <w:spacing w:line="240" w:lineRule="auto"/>
              <w:jc w:val="center"/>
              <w:rPr>
                <w:rFonts w:ascii="Calibri" w:eastAsia="Times New Roman" w:hAnsi="Calibri" w:cs="Calibri"/>
                <w:sz w:val="18"/>
                <w:szCs w:val="18"/>
              </w:rPr>
            </w:pPr>
            <w:r>
              <w:rPr>
                <w:rFonts w:ascii="Calibri" w:eastAsia="Times New Roman" w:hAnsi="Calibri" w:cs="Calibri"/>
                <w:sz w:val="18"/>
                <w:szCs w:val="18"/>
              </w:rPr>
              <w:t>Αριθμός επιχορηγούμενων φορέων</w:t>
            </w:r>
          </w:p>
        </w:tc>
      </w:tr>
      <w:tr w:rsidR="002A2422" w14:paraId="683322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5" w:type="pct"/>
            <w:shd w:val="clear" w:color="auto" w:fill="auto"/>
          </w:tcPr>
          <w:p w14:paraId="154A4EEB" w14:textId="77777777" w:rsidR="002A2422" w:rsidRDefault="003B3AD7">
            <w:pPr>
              <w:jc w:val="center"/>
              <w:rPr>
                <w:rFonts w:ascii="Calibri" w:eastAsia="Times New Roman" w:hAnsi="Calibri" w:cs="Calibri"/>
                <w:b/>
                <w:bCs/>
                <w:sz w:val="18"/>
                <w:szCs w:val="18"/>
              </w:rPr>
            </w:pPr>
            <w:r>
              <w:rPr>
                <w:rFonts w:ascii="Calibri" w:eastAsia="Calibri" w:hAnsi="Calibri" w:cs="Calibri"/>
                <w:b/>
                <w:bCs/>
                <w:sz w:val="18"/>
                <w:szCs w:val="18"/>
              </w:rPr>
              <w:t>Τεχνική Βοήθεια</w:t>
            </w:r>
          </w:p>
        </w:tc>
        <w:tc>
          <w:tcPr>
            <w:tcW w:w="1768" w:type="pct"/>
            <w:gridSpan w:val="3"/>
            <w:shd w:val="clear" w:color="auto" w:fill="auto"/>
          </w:tcPr>
          <w:p w14:paraId="5EC2591F" w14:textId="77777777" w:rsidR="002A2422" w:rsidRDefault="003B3AD7">
            <w:pPr>
              <w:jc w:val="center"/>
              <w:rPr>
                <w:rFonts w:ascii="Calibri" w:hAnsi="Calibri" w:cs="Calibri"/>
                <w:b/>
                <w:bCs/>
                <w:sz w:val="18"/>
                <w:szCs w:val="18"/>
              </w:rPr>
            </w:pPr>
            <w:r>
              <w:rPr>
                <w:rFonts w:ascii="Calibri" w:hAnsi="Calibri" w:cs="Calibri"/>
                <w:b/>
                <w:bCs/>
                <w:sz w:val="18"/>
                <w:szCs w:val="18"/>
              </w:rPr>
              <w:t>6.2</w:t>
            </w:r>
          </w:p>
          <w:p w14:paraId="60E1EC9A" w14:textId="77777777" w:rsidR="002A2422" w:rsidRDefault="002A2422">
            <w:pPr>
              <w:autoSpaceDE w:val="0"/>
              <w:autoSpaceDN w:val="0"/>
              <w:adjustRightInd w:val="0"/>
              <w:jc w:val="center"/>
              <w:rPr>
                <w:rFonts w:ascii="Calibri" w:eastAsia="Times New Roman" w:hAnsi="Calibri" w:cs="Calibri"/>
                <w:b/>
                <w:bCs/>
                <w:sz w:val="18"/>
                <w:szCs w:val="18"/>
              </w:rPr>
            </w:pPr>
          </w:p>
        </w:tc>
        <w:tc>
          <w:tcPr>
            <w:tcW w:w="2127" w:type="pct"/>
            <w:gridSpan w:val="2"/>
            <w:shd w:val="clear" w:color="auto" w:fill="auto"/>
          </w:tcPr>
          <w:p w14:paraId="563EB0D4" w14:textId="77777777" w:rsidR="002A2422" w:rsidRDefault="003B3AD7">
            <w:pPr>
              <w:pStyle w:val="ad"/>
              <w:numPr>
                <w:ilvl w:val="0"/>
                <w:numId w:val="14"/>
              </w:numPr>
              <w:spacing w:line="240" w:lineRule="auto"/>
              <w:jc w:val="center"/>
              <w:rPr>
                <w:rFonts w:ascii="Calibri" w:eastAsia="Times New Roman" w:hAnsi="Calibri" w:cs="Calibri"/>
                <w:b/>
                <w:bCs/>
                <w:sz w:val="18"/>
                <w:szCs w:val="18"/>
              </w:rPr>
            </w:pPr>
            <w:r>
              <w:rPr>
                <w:rFonts w:ascii="Calibri" w:eastAsia="Times New Roman" w:hAnsi="Calibri" w:cs="Calibri"/>
                <w:sz w:val="18"/>
                <w:szCs w:val="18"/>
              </w:rPr>
              <w:t>Αριθμός εκδηλώσεων (ενέργειες ενημέρωσης και ευαισθητοποίησης)</w:t>
            </w:r>
          </w:p>
          <w:p w14:paraId="3E128989" w14:textId="77777777" w:rsidR="002A2422" w:rsidRDefault="003B3AD7">
            <w:pPr>
              <w:pStyle w:val="ad"/>
              <w:numPr>
                <w:ilvl w:val="0"/>
                <w:numId w:val="14"/>
              </w:numPr>
              <w:spacing w:line="240" w:lineRule="auto"/>
              <w:jc w:val="center"/>
              <w:rPr>
                <w:rFonts w:ascii="Calibri" w:eastAsia="Times New Roman" w:hAnsi="Calibri" w:cs="Calibri"/>
                <w:b/>
                <w:bCs/>
                <w:sz w:val="18"/>
                <w:szCs w:val="18"/>
              </w:rPr>
            </w:pPr>
            <w:r>
              <w:rPr>
                <w:rFonts w:ascii="Calibri" w:eastAsia="Times New Roman" w:hAnsi="Calibri" w:cs="Calibri"/>
                <w:sz w:val="18"/>
                <w:szCs w:val="18"/>
              </w:rPr>
              <w:t>Μελέτες, εμπειρογνωμοσύνες, έρευνες, αξιολογήσεις</w:t>
            </w:r>
          </w:p>
        </w:tc>
      </w:tr>
    </w:tbl>
    <w:p w14:paraId="0CBC0797" w14:textId="77777777" w:rsidR="002A2422" w:rsidRDefault="002A2422">
      <w:pPr>
        <w:rPr>
          <w:rFonts w:asciiTheme="minorHAnsi" w:hAnsiTheme="minorHAnsi" w:cstheme="minorHAnsi"/>
        </w:rPr>
      </w:pPr>
    </w:p>
    <w:p w14:paraId="247BDF7C" w14:textId="77777777" w:rsidR="002A2422" w:rsidRDefault="002A2422">
      <w:pPr>
        <w:rPr>
          <w:rFonts w:asciiTheme="minorHAnsi" w:hAnsiTheme="minorHAnsi" w:cstheme="minorHAnsi"/>
        </w:rPr>
      </w:pPr>
    </w:p>
    <w:p w14:paraId="3F39514B" w14:textId="77777777" w:rsidR="002A2422" w:rsidRDefault="002A2422">
      <w:pPr>
        <w:rPr>
          <w:rFonts w:asciiTheme="minorHAnsi" w:hAnsiTheme="minorHAnsi" w:cstheme="minorHAnsi"/>
        </w:rPr>
      </w:pPr>
    </w:p>
    <w:p w14:paraId="14F07B65" w14:textId="77777777" w:rsidR="002A2422" w:rsidRDefault="002A2422">
      <w:pPr>
        <w:rPr>
          <w:rFonts w:asciiTheme="minorHAnsi" w:hAnsiTheme="minorHAnsi" w:cstheme="minorHAnsi"/>
        </w:rPr>
      </w:pPr>
    </w:p>
    <w:p w14:paraId="68BAA0AA" w14:textId="77777777" w:rsidR="002A2422" w:rsidRDefault="003B3AD7">
      <w:pPr>
        <w:pStyle w:val="3"/>
      </w:pPr>
      <w:bookmarkStart w:id="62" w:name="_Toc68011208"/>
      <w:bookmarkStart w:id="63" w:name="_Toc73665488"/>
      <w:r>
        <w:t>ΥΠΟΠΡΟΓΡΑΜΜΑ Β’ ΣΥΓΧΡΟΝΟΣ ΠΟΛΙΤΙΣΜΟΣ</w:t>
      </w:r>
      <w:bookmarkEnd w:id="62"/>
      <w:bookmarkEnd w:id="63"/>
      <w:r>
        <w:t xml:space="preserve"> </w:t>
      </w:r>
    </w:p>
    <w:p w14:paraId="5AB284D4" w14:textId="77777777" w:rsidR="002A2422" w:rsidRDefault="003B3AD7">
      <w:pPr>
        <w:spacing w:before="60" w:after="60"/>
        <w:rPr>
          <w:rFonts w:asciiTheme="minorHAnsi" w:eastAsia="Calibri" w:hAnsiTheme="minorHAnsi" w:cstheme="minorHAnsi"/>
          <w:b/>
          <w:bCs/>
          <w:sz w:val="24"/>
          <w:szCs w:val="24"/>
        </w:rPr>
      </w:pPr>
      <w:bookmarkStart w:id="64" w:name="_Toc68011209"/>
      <w:r>
        <w:rPr>
          <w:rFonts w:asciiTheme="minorHAnsi" w:eastAsia="Calibri" w:hAnsiTheme="minorHAnsi" w:cstheme="minorHAnsi"/>
          <w:b/>
          <w:bCs/>
          <w:sz w:val="24"/>
          <w:szCs w:val="24"/>
        </w:rPr>
        <w:t>ΑΝΑΠΤΥΞΙΑΚΟΣ ΣΤΟΧΟΣ ΕΠΑ   ΕΞΥΠΝΗ ΑΝΑΠΤΥΞΗ</w:t>
      </w:r>
      <w:bookmarkEnd w:id="64"/>
    </w:p>
    <w:p w14:paraId="0D9EA883" w14:textId="77777777" w:rsidR="002A2422" w:rsidRDefault="003B3AD7">
      <w:pPr>
        <w:pStyle w:val="ae"/>
        <w:spacing w:line="336" w:lineRule="auto"/>
        <w:rPr>
          <w:rFonts w:asciiTheme="minorHAnsi" w:hAnsiTheme="minorHAnsi" w:cstheme="minorHAnsi"/>
        </w:rPr>
      </w:pPr>
      <w:r>
        <w:rPr>
          <w:rFonts w:asciiTheme="minorHAnsi" w:hAnsiTheme="minorHAnsi" w:cstheme="minorHAnsi"/>
        </w:rPr>
        <w:t xml:space="preserve">Στον αναπτυξιακό στόχο της έξυπνης ανάπτυξης  οι προτεινόμενες προτεραιότητες αφορούν στη διασύνδεση της έρευνας με τον σύγχρονο Πολιτισμό μέσω της  δημιουργίας επιλεγμένων κεντρικών ερευνητικών κέντρων και προγραμμάτων σε τομείς αιχμής, καθώς και στην </w:t>
      </w:r>
      <w:proofErr w:type="spellStart"/>
      <w:r>
        <w:rPr>
          <w:rFonts w:asciiTheme="minorHAnsi" w:hAnsiTheme="minorHAnsi" w:cstheme="minorHAnsi"/>
        </w:rPr>
        <w:t>ψηφιοποίηση</w:t>
      </w:r>
      <w:proofErr w:type="spellEnd"/>
      <w:r>
        <w:rPr>
          <w:rFonts w:asciiTheme="minorHAnsi" w:hAnsiTheme="minorHAnsi" w:cstheme="minorHAnsi"/>
        </w:rPr>
        <w:t xml:space="preserve"> των διαδικασιών και των λειτουργιών του ΥΠΠΟΑ.</w:t>
      </w:r>
    </w:p>
    <w:p w14:paraId="1AB367DC" w14:textId="77777777" w:rsidR="002A2422" w:rsidRDefault="002A2422">
      <w:pPr>
        <w:pStyle w:val="ae"/>
        <w:spacing w:line="360" w:lineRule="auto"/>
        <w:rPr>
          <w:rFonts w:asciiTheme="minorHAnsi" w:hAnsiTheme="minorHAnsi" w:cstheme="minorHAnsi"/>
        </w:rPr>
      </w:pPr>
    </w:p>
    <w:p w14:paraId="6FA41439" w14:textId="77777777" w:rsidR="002A2422" w:rsidRDefault="003B3AD7">
      <w:pPr>
        <w:spacing w:before="60" w:after="60"/>
        <w:rPr>
          <w:rFonts w:asciiTheme="minorHAnsi" w:eastAsia="Calibri" w:hAnsiTheme="minorHAnsi" w:cstheme="minorHAnsi"/>
          <w:b/>
          <w:bCs/>
          <w:sz w:val="24"/>
          <w:szCs w:val="24"/>
        </w:rPr>
      </w:pPr>
      <w:bookmarkStart w:id="65" w:name="_Toc68011210"/>
      <w:r>
        <w:rPr>
          <w:rFonts w:asciiTheme="minorHAnsi" w:eastAsia="Calibri" w:hAnsiTheme="minorHAnsi" w:cstheme="minorHAnsi"/>
          <w:b/>
          <w:bCs/>
          <w:sz w:val="24"/>
          <w:szCs w:val="24"/>
        </w:rPr>
        <w:t>ΑΝΑΠΤΥΞΙΑΚΟΣ ΣΤΟΧΟΣ  ΕΠΑ ΠΡΑΣΙΝΗ ΑΝΑΠΤΥΞΗ</w:t>
      </w:r>
      <w:bookmarkEnd w:id="65"/>
      <w:r>
        <w:rPr>
          <w:rFonts w:asciiTheme="minorHAnsi" w:eastAsia="Calibri" w:hAnsiTheme="minorHAnsi" w:cstheme="minorHAnsi"/>
          <w:b/>
          <w:bCs/>
          <w:sz w:val="24"/>
          <w:szCs w:val="24"/>
        </w:rPr>
        <w:t xml:space="preserve">  </w:t>
      </w:r>
    </w:p>
    <w:p w14:paraId="04A8BC7B" w14:textId="77777777" w:rsidR="002A2422" w:rsidRDefault="003B3AD7">
      <w:pPr>
        <w:rPr>
          <w:rFonts w:asciiTheme="minorHAnsi" w:eastAsia="Calibri" w:hAnsiTheme="minorHAnsi" w:cstheme="minorHAnsi"/>
          <w:sz w:val="24"/>
          <w:szCs w:val="24"/>
        </w:rPr>
      </w:pPr>
      <w:r>
        <w:rPr>
          <w:rFonts w:asciiTheme="minorHAnsi" w:eastAsia="Calibri" w:hAnsiTheme="minorHAnsi" w:cstheme="minorHAnsi"/>
          <w:sz w:val="24"/>
          <w:szCs w:val="24"/>
        </w:rPr>
        <w:t>Στον αναπτυξιακό στόχο της Πράσινης Ανάπτυξης έχει σημαντικό ρόλο η προτεραιότητα της ανάδειξης, προστασίας και αξιοποίηση της φυσικής κληρονομιάς.</w:t>
      </w:r>
    </w:p>
    <w:p w14:paraId="58537234" w14:textId="77777777" w:rsidR="002A2422" w:rsidRDefault="002A2422">
      <w:pPr>
        <w:rPr>
          <w:rFonts w:asciiTheme="minorHAnsi" w:eastAsia="Calibri" w:hAnsiTheme="minorHAnsi" w:cstheme="minorHAnsi"/>
          <w:b/>
          <w:bCs/>
        </w:rPr>
      </w:pPr>
    </w:p>
    <w:p w14:paraId="14512596" w14:textId="77777777" w:rsidR="002A2422" w:rsidRDefault="003B3AD7">
      <w:pPr>
        <w:spacing w:before="60" w:after="60"/>
        <w:rPr>
          <w:rFonts w:asciiTheme="minorHAnsi" w:eastAsia="Calibri" w:hAnsiTheme="minorHAnsi" w:cstheme="minorHAnsi"/>
          <w:b/>
          <w:bCs/>
          <w:sz w:val="24"/>
          <w:szCs w:val="24"/>
        </w:rPr>
      </w:pPr>
      <w:bookmarkStart w:id="66" w:name="_Toc68011211"/>
      <w:r>
        <w:rPr>
          <w:rFonts w:asciiTheme="minorHAnsi" w:eastAsia="Calibri" w:hAnsiTheme="minorHAnsi" w:cstheme="minorHAnsi"/>
          <w:b/>
          <w:bCs/>
          <w:sz w:val="24"/>
          <w:szCs w:val="24"/>
        </w:rPr>
        <w:t>ΑΝΑΠΤΥΞΙΑΚΟΣ ΣΤΟΧΟΣ ΕΠΑ ΚΟΙΝΩΝΙΚΗ  ΑΝΑΠΤΥΞΗ:</w:t>
      </w:r>
      <w:bookmarkEnd w:id="66"/>
      <w:r>
        <w:rPr>
          <w:rFonts w:asciiTheme="minorHAnsi" w:eastAsia="Calibri" w:hAnsiTheme="minorHAnsi" w:cstheme="minorHAnsi"/>
          <w:b/>
          <w:bCs/>
          <w:sz w:val="24"/>
          <w:szCs w:val="24"/>
        </w:rPr>
        <w:t xml:space="preserve"> </w:t>
      </w:r>
    </w:p>
    <w:p w14:paraId="081BA62A" w14:textId="77777777" w:rsidR="002A2422" w:rsidRDefault="003B3AD7">
      <w:pPr>
        <w:rPr>
          <w:rFonts w:asciiTheme="minorHAnsi" w:eastAsia="Times New Roman" w:hAnsiTheme="minorHAnsi" w:cstheme="minorHAnsi"/>
          <w:sz w:val="24"/>
          <w:szCs w:val="24"/>
        </w:rPr>
      </w:pPr>
      <w:r>
        <w:rPr>
          <w:rFonts w:asciiTheme="minorHAnsi" w:hAnsiTheme="minorHAnsi" w:cstheme="minorHAnsi"/>
          <w:sz w:val="24"/>
          <w:szCs w:val="24"/>
        </w:rPr>
        <w:t xml:space="preserve">Στον στόχο της κοινωνικής ανάπτυξης σημαντική προτεραιότητα αποτελεί η αναβάθμιση των δεξιοτήτων του ανθρώπινου δυναμικού του σύγχρονου  Πολιτισμού, με </w:t>
      </w:r>
      <w:proofErr w:type="spellStart"/>
      <w:r>
        <w:rPr>
          <w:rFonts w:asciiTheme="minorHAnsi" w:hAnsiTheme="minorHAnsi" w:cstheme="minorHAnsi"/>
          <w:sz w:val="24"/>
          <w:szCs w:val="24"/>
        </w:rPr>
        <w:t>στοχευμένα</w:t>
      </w:r>
      <w:proofErr w:type="spellEnd"/>
      <w:r>
        <w:rPr>
          <w:rFonts w:asciiTheme="minorHAnsi" w:hAnsiTheme="minorHAnsi" w:cstheme="minorHAnsi"/>
          <w:sz w:val="24"/>
          <w:szCs w:val="24"/>
        </w:rPr>
        <w:t xml:space="preserve"> προγράμματα τόνωσης της απασχόλησης, καθώς και η βελτίωση των υποδομών για την πρόσβαση των ΑΜΕΑ σε χώρους Πολιτισμού. Τέλος, είναι σημαντική η εξειδίκευση της πρωτοβουλίας για την </w:t>
      </w:r>
      <w:r>
        <w:rPr>
          <w:rFonts w:asciiTheme="minorHAnsi" w:eastAsia="Times New Roman" w:hAnsiTheme="minorHAnsi" w:cstheme="minorHAnsi"/>
          <w:sz w:val="24"/>
          <w:szCs w:val="24"/>
        </w:rPr>
        <w:t>προσέλκυση καταρτισμένων Ελλήνων από το εξωτερικό  (</w:t>
      </w:r>
      <w:r>
        <w:rPr>
          <w:rFonts w:asciiTheme="minorHAnsi" w:eastAsia="Times New Roman" w:hAnsiTheme="minorHAnsi" w:cstheme="minorHAnsi"/>
          <w:sz w:val="24"/>
          <w:szCs w:val="24"/>
          <w:lang w:val="en-US"/>
        </w:rPr>
        <w:t>Brain</w:t>
      </w:r>
      <w:r>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lang w:val="en-US"/>
        </w:rPr>
        <w:t>Gain</w:t>
      </w:r>
      <w:r>
        <w:rPr>
          <w:rFonts w:asciiTheme="minorHAnsi" w:eastAsia="Times New Roman" w:hAnsiTheme="minorHAnsi" w:cstheme="minorHAnsi"/>
          <w:sz w:val="24"/>
          <w:szCs w:val="24"/>
        </w:rPr>
        <w:t>) στον τομέα της σύγχρονης καλλιτεχνικής δημιουργίας</w:t>
      </w:r>
    </w:p>
    <w:p w14:paraId="27C2555A" w14:textId="77777777" w:rsidR="002A2422" w:rsidRDefault="002A2422">
      <w:pPr>
        <w:rPr>
          <w:rFonts w:asciiTheme="minorHAnsi" w:eastAsia="Times New Roman" w:hAnsiTheme="minorHAnsi" w:cstheme="minorHAnsi"/>
          <w:sz w:val="24"/>
          <w:szCs w:val="24"/>
        </w:rPr>
      </w:pPr>
    </w:p>
    <w:p w14:paraId="65512B18" w14:textId="77777777" w:rsidR="002A2422" w:rsidRDefault="002A2422">
      <w:pPr>
        <w:rPr>
          <w:rFonts w:asciiTheme="minorHAnsi" w:eastAsia="Times New Roman" w:hAnsiTheme="minorHAnsi" w:cstheme="minorHAnsi"/>
          <w:sz w:val="24"/>
          <w:szCs w:val="24"/>
        </w:rPr>
      </w:pPr>
    </w:p>
    <w:p w14:paraId="75EF29E8" w14:textId="77777777" w:rsidR="002A2422" w:rsidRDefault="002A2422">
      <w:pPr>
        <w:spacing w:before="60" w:after="60"/>
        <w:rPr>
          <w:rFonts w:asciiTheme="minorHAnsi" w:eastAsia="Calibri" w:hAnsiTheme="minorHAnsi" w:cstheme="minorHAnsi"/>
          <w:b/>
          <w:u w:val="single"/>
        </w:rPr>
      </w:pPr>
    </w:p>
    <w:p w14:paraId="7327A296" w14:textId="77777777" w:rsidR="002A2422" w:rsidRDefault="003B3AD7">
      <w:pPr>
        <w:spacing w:before="60" w:after="60"/>
        <w:rPr>
          <w:rFonts w:asciiTheme="minorHAnsi" w:eastAsia="Calibri" w:hAnsiTheme="minorHAnsi" w:cstheme="minorHAnsi"/>
          <w:b/>
          <w:bCs/>
          <w:sz w:val="24"/>
          <w:szCs w:val="24"/>
        </w:rPr>
      </w:pPr>
      <w:bookmarkStart w:id="67" w:name="_Toc68011212"/>
      <w:r>
        <w:rPr>
          <w:rFonts w:asciiTheme="minorHAnsi" w:eastAsia="Calibri" w:hAnsiTheme="minorHAnsi" w:cstheme="minorHAnsi"/>
          <w:b/>
          <w:bCs/>
          <w:sz w:val="24"/>
          <w:szCs w:val="24"/>
        </w:rPr>
        <w:lastRenderedPageBreak/>
        <w:t>ΑΝΑΠΤΥΞΙΑΚΟΣ ΣΤΟΧΟΣ ΕΠΑ ΕΝΙΣΧΥΣΗ ΕΞΩΣΤΡΕΦΕΙΑΣ :</w:t>
      </w:r>
      <w:bookmarkEnd w:id="67"/>
      <w:r>
        <w:rPr>
          <w:rFonts w:asciiTheme="minorHAnsi" w:eastAsia="Calibri" w:hAnsiTheme="minorHAnsi" w:cstheme="minorHAnsi"/>
          <w:b/>
          <w:bCs/>
          <w:sz w:val="24"/>
          <w:szCs w:val="24"/>
        </w:rPr>
        <w:t xml:space="preserve"> </w:t>
      </w:r>
    </w:p>
    <w:p w14:paraId="529557B1" w14:textId="77777777" w:rsidR="002A2422" w:rsidRDefault="003B3AD7">
      <w:pPr>
        <w:rPr>
          <w:rFonts w:asciiTheme="minorHAnsi" w:hAnsiTheme="minorHAnsi" w:cstheme="minorHAnsi"/>
        </w:rPr>
      </w:pPr>
      <w:r>
        <w:rPr>
          <w:rFonts w:asciiTheme="minorHAnsi" w:eastAsia="Calibri" w:hAnsiTheme="minorHAnsi" w:cstheme="minorHAnsi"/>
          <w:sz w:val="24"/>
          <w:szCs w:val="24"/>
        </w:rPr>
        <w:t xml:space="preserve">Ο τομέας της εξωστρέφειας του σύγχρονου Πολιτισμού μπορεί να έχει πολύ μεγάλη συνεισφορά στην οικονομική ανάπτυξη της χώρας. Ειδικότερα, η </w:t>
      </w:r>
      <w:r>
        <w:rPr>
          <w:rFonts w:asciiTheme="minorHAnsi" w:eastAsia="Times New Roman" w:hAnsiTheme="minorHAnsi" w:cstheme="minorHAnsi"/>
          <w:sz w:val="24"/>
          <w:szCs w:val="24"/>
        </w:rPr>
        <w:t>εισαγωγή της ψηφιακής τεχνολογίας για την ξενάγηση σε μουσεία και πολιτιστικά κέντρα, η ενδυνάμωση και ενίσχυση των υποδομών και  δράσεων σύγχρονου πολιτισμού. Επιπρόσθετα σημαντικό παράγοντας  στην οικονομική ανάπτυξη της χώρας είναι η ενίσχυση των πολιτιστικών και δημιουργικών βιομηχανιών καθώς και η  δημιουργία και προώθηση εθνικού εμπορικού σήματος.</w:t>
      </w:r>
    </w:p>
    <w:p w14:paraId="4651FD3D" w14:textId="77777777" w:rsidR="002A2422" w:rsidRDefault="003B3AD7">
      <w:pPr>
        <w:spacing w:before="60" w:after="60"/>
        <w:rPr>
          <w:rFonts w:asciiTheme="minorHAnsi" w:eastAsia="Calibri" w:hAnsiTheme="minorHAnsi" w:cstheme="minorHAnsi"/>
          <w:b/>
          <w:bCs/>
          <w:sz w:val="24"/>
          <w:szCs w:val="24"/>
        </w:rPr>
      </w:pPr>
      <w:bookmarkStart w:id="68" w:name="_Toc68011213"/>
      <w:r>
        <w:rPr>
          <w:rFonts w:asciiTheme="minorHAnsi" w:eastAsia="Calibri" w:hAnsiTheme="minorHAnsi" w:cstheme="minorHAnsi"/>
          <w:b/>
          <w:bCs/>
          <w:sz w:val="24"/>
          <w:szCs w:val="24"/>
        </w:rPr>
        <w:t>ΑΝΑΠΤΥΞΙΑΚΟΣ ΣΤΟΧΟΣ ΕΠΑ: ΥΠΟΣΤΗΡΙΞΗ ΠΡΟΓΡΑΜΜΑΤΩΝ</w:t>
      </w:r>
      <w:bookmarkEnd w:id="68"/>
    </w:p>
    <w:p w14:paraId="526CE221" w14:textId="77777777" w:rsidR="002A2422" w:rsidRDefault="003B3AD7">
      <w:pPr>
        <w:rPr>
          <w:rFonts w:asciiTheme="minorHAnsi" w:eastAsia="Calibri" w:hAnsiTheme="minorHAnsi" w:cstheme="minorHAnsi"/>
          <w:sz w:val="24"/>
          <w:szCs w:val="24"/>
        </w:rPr>
      </w:pPr>
      <w:r>
        <w:rPr>
          <w:rFonts w:asciiTheme="minorHAnsi" w:eastAsia="Calibri" w:hAnsiTheme="minorHAnsi" w:cstheme="minorHAnsi"/>
          <w:sz w:val="24"/>
          <w:szCs w:val="24"/>
        </w:rPr>
        <w:t xml:space="preserve">Αφορά πρόγραμμα τεχνικής βοήθειας για την υποστήριξη της υλοποίησης του </w:t>
      </w:r>
      <w:proofErr w:type="spellStart"/>
      <w:r>
        <w:rPr>
          <w:rFonts w:asciiTheme="minorHAnsi" w:eastAsia="Calibri" w:hAnsiTheme="minorHAnsi" w:cstheme="minorHAnsi"/>
          <w:sz w:val="24"/>
          <w:szCs w:val="24"/>
        </w:rPr>
        <w:t>Υποπρογράμματος</w:t>
      </w:r>
      <w:proofErr w:type="spellEnd"/>
      <w:r>
        <w:rPr>
          <w:rFonts w:asciiTheme="minorHAnsi" w:eastAsia="Calibri" w:hAnsiTheme="minorHAnsi" w:cstheme="minorHAnsi"/>
          <w:sz w:val="24"/>
          <w:szCs w:val="24"/>
        </w:rPr>
        <w:t xml:space="preserve"> του σύγχρονου πολιτισμού.</w:t>
      </w:r>
    </w:p>
    <w:p w14:paraId="362BE514" w14:textId="77777777" w:rsidR="002A2422" w:rsidRDefault="002A2422">
      <w:pPr>
        <w:rPr>
          <w:rFonts w:asciiTheme="minorHAnsi" w:eastAsia="Calibri" w:hAnsiTheme="minorHAnsi" w:cstheme="minorHAnsi"/>
          <w:sz w:val="24"/>
          <w:szCs w:val="24"/>
        </w:rPr>
      </w:pPr>
    </w:p>
    <w:p w14:paraId="4D0008FB" w14:textId="77777777" w:rsidR="002A2422" w:rsidRDefault="003B3AD7">
      <w:pPr>
        <w:pStyle w:val="4"/>
      </w:pPr>
      <w:bookmarkStart w:id="69" w:name="_Toc68011214"/>
      <w:r>
        <w:t>ΔΕΙΚΤΕΣ ΥΠΟΠΡΟΓΡΑΜΜΑΤΟΣ ΣΥΓΧΡΟΝΟΣ ΠΟΛΙΤΙΣΜΟΣ</w:t>
      </w:r>
      <w:bookmarkEnd w:id="69"/>
      <w:r>
        <w:t xml:space="preserve">  </w:t>
      </w:r>
    </w:p>
    <w:p w14:paraId="1565616C" w14:textId="77777777" w:rsidR="002A2422" w:rsidRDefault="002A2422"/>
    <w:p w14:paraId="6D5736B6" w14:textId="77777777" w:rsidR="002A2422" w:rsidRDefault="002A2422">
      <w:pPr>
        <w:jc w:val="center"/>
        <w:rPr>
          <w:vanish/>
          <w:sz w:val="18"/>
          <w:szCs w:val="18"/>
        </w:rPr>
      </w:pPr>
    </w:p>
    <w:tbl>
      <w:tblPr>
        <w:tblW w:w="5000" w:type="pct"/>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2125"/>
        <w:gridCol w:w="146"/>
        <w:gridCol w:w="3195"/>
        <w:gridCol w:w="62"/>
        <w:gridCol w:w="4005"/>
        <w:gridCol w:w="90"/>
      </w:tblGrid>
      <w:tr w:rsidR="002A2422" w14:paraId="76E0CD47" w14:textId="77777777">
        <w:trPr>
          <w:gridAfter w:val="1"/>
          <w:wAfter w:w="47" w:type="pct"/>
        </w:trPr>
        <w:tc>
          <w:tcPr>
            <w:tcW w:w="4953" w:type="pct"/>
            <w:gridSpan w:val="5"/>
            <w:shd w:val="pct40" w:color="auto" w:fill="auto"/>
            <w:vAlign w:val="center"/>
          </w:tcPr>
          <w:p w14:paraId="45DAD316" w14:textId="77777777" w:rsidR="002A2422" w:rsidRDefault="003B3AD7">
            <w:pPr>
              <w:pStyle w:val="ad"/>
              <w:spacing w:line="240" w:lineRule="auto"/>
              <w:jc w:val="center"/>
              <w:rPr>
                <w:rFonts w:ascii="Calibri" w:eastAsia="Times New Roman" w:hAnsi="Calibri" w:cs="Calibri"/>
                <w:b/>
                <w:bCs/>
                <w:sz w:val="18"/>
                <w:szCs w:val="18"/>
              </w:rPr>
            </w:pPr>
            <w:r>
              <w:rPr>
                <w:rFonts w:ascii="Calibri" w:eastAsia="Times New Roman" w:hAnsi="Calibri" w:cs="Calibri"/>
                <w:b/>
                <w:bCs/>
                <w:sz w:val="18"/>
                <w:szCs w:val="18"/>
              </w:rPr>
              <w:t>ΑΝΑΠΤΥΞΙΑΚΟΣ ΣΤΟΧΟΣ ΕΠΑ  ΕΞΥΠΝΗ ΑΝΑΠΤΥΞΗ</w:t>
            </w:r>
          </w:p>
        </w:tc>
      </w:tr>
      <w:tr w:rsidR="002A2422" w14:paraId="452A47CE" w14:textId="77777777">
        <w:trPr>
          <w:gridAfter w:val="1"/>
          <w:wAfter w:w="47" w:type="pct"/>
        </w:trPr>
        <w:tc>
          <w:tcPr>
            <w:tcW w:w="1180" w:type="pct"/>
            <w:gridSpan w:val="2"/>
            <w:shd w:val="pct40" w:color="auto" w:fill="auto"/>
            <w:vAlign w:val="center"/>
          </w:tcPr>
          <w:p w14:paraId="29301847"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ΠΡΟΤΕΡΑΙΟΤΗΤΑ ΤΠΑ /ΥΠΠΟΑ</w:t>
            </w:r>
          </w:p>
        </w:tc>
        <w:tc>
          <w:tcPr>
            <w:tcW w:w="1660" w:type="pct"/>
            <w:shd w:val="pct40" w:color="auto" w:fill="auto"/>
            <w:vAlign w:val="center"/>
          </w:tcPr>
          <w:p w14:paraId="35201C75"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ΑΝΤΙΣΤΟΙΧΗΣΗ ΜΕ ΠΡΟΤΕΡΑΙΟΤΗΤΑ ΕΠΑ</w:t>
            </w:r>
          </w:p>
        </w:tc>
        <w:tc>
          <w:tcPr>
            <w:tcW w:w="2113" w:type="pct"/>
            <w:gridSpan w:val="2"/>
            <w:shd w:val="pct40" w:color="auto" w:fill="auto"/>
            <w:vAlign w:val="center"/>
          </w:tcPr>
          <w:p w14:paraId="2BF084FA" w14:textId="77777777" w:rsidR="002A2422" w:rsidRDefault="003B3AD7">
            <w:pPr>
              <w:pStyle w:val="ad"/>
              <w:numPr>
                <w:ilvl w:val="0"/>
                <w:numId w:val="14"/>
              </w:numPr>
              <w:spacing w:line="240" w:lineRule="auto"/>
              <w:jc w:val="center"/>
              <w:rPr>
                <w:rFonts w:ascii="Calibri" w:eastAsia="Times New Roman" w:hAnsi="Calibri" w:cs="Calibri"/>
                <w:b/>
                <w:bCs/>
                <w:sz w:val="18"/>
                <w:szCs w:val="18"/>
              </w:rPr>
            </w:pPr>
            <w:r>
              <w:rPr>
                <w:rFonts w:ascii="Calibri" w:eastAsia="Times New Roman" w:hAnsi="Calibri" w:cs="Calibri"/>
                <w:b/>
                <w:bCs/>
                <w:sz w:val="18"/>
                <w:szCs w:val="18"/>
              </w:rPr>
              <w:t>ΠΡΟΤΕΙΝΟΜΕΝΟΙ ΔΕΙΚΤΕΣ</w:t>
            </w:r>
          </w:p>
        </w:tc>
      </w:tr>
      <w:tr w:rsidR="002A2422" w14:paraId="3F7AD37E" w14:textId="77777777">
        <w:trPr>
          <w:gridAfter w:val="1"/>
          <w:wAfter w:w="47" w:type="pct"/>
        </w:trPr>
        <w:tc>
          <w:tcPr>
            <w:tcW w:w="1180" w:type="pct"/>
            <w:gridSpan w:val="2"/>
            <w:shd w:val="clear" w:color="auto" w:fill="auto"/>
            <w:vAlign w:val="center"/>
          </w:tcPr>
          <w:p w14:paraId="021193A4" w14:textId="77777777" w:rsidR="002A2422" w:rsidRDefault="002A2422">
            <w:pPr>
              <w:autoSpaceDE w:val="0"/>
              <w:autoSpaceDN w:val="0"/>
              <w:adjustRightInd w:val="0"/>
              <w:jc w:val="center"/>
              <w:rPr>
                <w:rFonts w:ascii="Calibri" w:eastAsia="Times New Roman" w:hAnsi="Calibri" w:cs="Calibri"/>
                <w:b/>
                <w:bCs/>
                <w:sz w:val="18"/>
                <w:szCs w:val="18"/>
              </w:rPr>
            </w:pPr>
          </w:p>
          <w:p w14:paraId="775999F8" w14:textId="77777777" w:rsidR="002A2422" w:rsidRDefault="003B3AD7">
            <w:pPr>
              <w:autoSpaceDE w:val="0"/>
              <w:autoSpaceDN w:val="0"/>
              <w:adjustRightInd w:val="0"/>
              <w:jc w:val="center"/>
              <w:rPr>
                <w:rFonts w:ascii="Calibri" w:eastAsia="Times New Roman" w:hAnsi="Calibri" w:cs="Calibri"/>
                <w:sz w:val="18"/>
                <w:szCs w:val="18"/>
              </w:rPr>
            </w:pPr>
            <w:r>
              <w:rPr>
                <w:rFonts w:ascii="Calibri" w:eastAsia="Times New Roman" w:hAnsi="Calibri" w:cs="Calibri"/>
                <w:b/>
                <w:bCs/>
                <w:sz w:val="18"/>
                <w:szCs w:val="18"/>
              </w:rPr>
              <w:t>Δημιουργία επιλεγμένων κεντρικών ερευνητικών κέντρων και προγραμμάτων σε τομείς αιχμής</w:t>
            </w:r>
          </w:p>
        </w:tc>
        <w:tc>
          <w:tcPr>
            <w:tcW w:w="1660" w:type="pct"/>
            <w:shd w:val="clear" w:color="auto" w:fill="auto"/>
            <w:vAlign w:val="center"/>
          </w:tcPr>
          <w:p w14:paraId="4374C36B"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1.1</w:t>
            </w:r>
          </w:p>
        </w:tc>
        <w:tc>
          <w:tcPr>
            <w:tcW w:w="2113" w:type="pct"/>
            <w:gridSpan w:val="2"/>
            <w:shd w:val="clear" w:color="auto" w:fill="FFFFFF"/>
            <w:vAlign w:val="center"/>
          </w:tcPr>
          <w:p w14:paraId="7179C83E" w14:textId="77777777" w:rsidR="002A2422" w:rsidRDefault="003B3AD7">
            <w:pPr>
              <w:pStyle w:val="ad"/>
              <w:numPr>
                <w:ilvl w:val="0"/>
                <w:numId w:val="14"/>
              </w:numPr>
              <w:spacing w:line="240" w:lineRule="auto"/>
              <w:jc w:val="center"/>
              <w:rPr>
                <w:rFonts w:ascii="Calibri" w:eastAsia="Times New Roman" w:hAnsi="Calibri" w:cs="Calibri"/>
                <w:sz w:val="18"/>
                <w:szCs w:val="18"/>
              </w:rPr>
            </w:pPr>
            <w:r>
              <w:rPr>
                <w:rFonts w:ascii="Calibri" w:eastAsia="Times New Roman" w:hAnsi="Calibri" w:cs="Calibri"/>
                <w:sz w:val="18"/>
                <w:szCs w:val="18"/>
              </w:rPr>
              <w:t>Ερευνητικά προγράμματα που αξιολογούνται</w:t>
            </w:r>
          </w:p>
          <w:p w14:paraId="6803F3B3" w14:textId="77777777" w:rsidR="002A2422" w:rsidRDefault="002A2422">
            <w:pPr>
              <w:widowControl w:val="0"/>
              <w:autoSpaceDE w:val="0"/>
              <w:autoSpaceDN w:val="0"/>
              <w:adjustRightInd w:val="0"/>
              <w:spacing w:before="40" w:after="40"/>
              <w:ind w:left="318"/>
              <w:jc w:val="center"/>
              <w:rPr>
                <w:rFonts w:ascii="Calibri" w:eastAsia="Times New Roman" w:hAnsi="Calibri" w:cs="Calibri"/>
                <w:sz w:val="18"/>
                <w:szCs w:val="18"/>
              </w:rPr>
            </w:pPr>
          </w:p>
          <w:p w14:paraId="7AA8F98F" w14:textId="77777777" w:rsidR="002A2422" w:rsidRDefault="002A2422">
            <w:pPr>
              <w:widowControl w:val="0"/>
              <w:autoSpaceDE w:val="0"/>
              <w:autoSpaceDN w:val="0"/>
              <w:adjustRightInd w:val="0"/>
              <w:spacing w:before="40" w:after="40"/>
              <w:ind w:left="318"/>
              <w:jc w:val="center"/>
              <w:rPr>
                <w:rFonts w:ascii="Calibri" w:eastAsia="Times New Roman" w:hAnsi="Calibri" w:cs="Calibri"/>
                <w:sz w:val="18"/>
                <w:szCs w:val="18"/>
              </w:rPr>
            </w:pPr>
          </w:p>
        </w:tc>
      </w:tr>
      <w:tr w:rsidR="002A2422" w14:paraId="1E37F3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7" w:type="pct"/>
        </w:trPr>
        <w:tc>
          <w:tcPr>
            <w:tcW w:w="1180" w:type="pct"/>
            <w:gridSpan w:val="2"/>
            <w:shd w:val="clear" w:color="auto" w:fill="auto"/>
          </w:tcPr>
          <w:p w14:paraId="66105C04" w14:textId="77777777" w:rsidR="002A2422" w:rsidRDefault="003B3AD7">
            <w:pPr>
              <w:jc w:val="center"/>
              <w:rPr>
                <w:rFonts w:ascii="Calibri" w:eastAsia="Times New Roman" w:hAnsi="Calibri" w:cs="Calibri"/>
                <w:b/>
                <w:bCs/>
                <w:sz w:val="18"/>
                <w:szCs w:val="18"/>
              </w:rPr>
            </w:pPr>
            <w:r>
              <w:rPr>
                <w:rFonts w:ascii="Calibri" w:eastAsia="Times New Roman" w:hAnsi="Calibri" w:cs="Calibri"/>
                <w:b/>
                <w:bCs/>
                <w:sz w:val="18"/>
                <w:szCs w:val="18"/>
              </w:rPr>
              <w:t xml:space="preserve">Δημόσια διοίκηση και </w:t>
            </w:r>
            <w:proofErr w:type="spellStart"/>
            <w:r>
              <w:rPr>
                <w:rFonts w:ascii="Calibri" w:eastAsia="Times New Roman" w:hAnsi="Calibri" w:cs="Calibri"/>
                <w:b/>
                <w:bCs/>
                <w:sz w:val="18"/>
                <w:szCs w:val="18"/>
              </w:rPr>
              <w:t>ψηφιοποίηση</w:t>
            </w:r>
            <w:proofErr w:type="spellEnd"/>
          </w:p>
          <w:p w14:paraId="1CA6FE17" w14:textId="77777777" w:rsidR="002A2422" w:rsidRDefault="002A2422">
            <w:pPr>
              <w:autoSpaceDE w:val="0"/>
              <w:autoSpaceDN w:val="0"/>
              <w:adjustRightInd w:val="0"/>
              <w:jc w:val="center"/>
              <w:rPr>
                <w:rFonts w:ascii="Calibri" w:eastAsia="Times New Roman" w:hAnsi="Calibri" w:cs="Calibri"/>
                <w:sz w:val="18"/>
                <w:szCs w:val="18"/>
              </w:rPr>
            </w:pPr>
          </w:p>
        </w:tc>
        <w:tc>
          <w:tcPr>
            <w:tcW w:w="1660" w:type="pct"/>
            <w:shd w:val="clear" w:color="auto" w:fill="auto"/>
          </w:tcPr>
          <w:p w14:paraId="4D6E7CC4" w14:textId="77777777" w:rsidR="002A2422" w:rsidRDefault="003B3AD7">
            <w:pPr>
              <w:jc w:val="center"/>
              <w:rPr>
                <w:rFonts w:ascii="Calibri" w:eastAsia="Times New Roman" w:hAnsi="Calibri" w:cs="Calibri"/>
                <w:b/>
                <w:bCs/>
                <w:sz w:val="18"/>
                <w:szCs w:val="18"/>
              </w:rPr>
            </w:pPr>
            <w:r>
              <w:rPr>
                <w:rFonts w:ascii="Calibri" w:eastAsia="Times New Roman" w:hAnsi="Calibri" w:cs="Calibri"/>
                <w:b/>
                <w:bCs/>
                <w:sz w:val="18"/>
                <w:szCs w:val="18"/>
              </w:rPr>
              <w:t>1.6</w:t>
            </w:r>
          </w:p>
        </w:tc>
        <w:tc>
          <w:tcPr>
            <w:tcW w:w="2113" w:type="pct"/>
            <w:gridSpan w:val="2"/>
            <w:shd w:val="clear" w:color="auto" w:fill="auto"/>
          </w:tcPr>
          <w:p w14:paraId="22B53ED3" w14:textId="77777777" w:rsidR="002A2422" w:rsidRDefault="003B3AD7">
            <w:pPr>
              <w:pStyle w:val="ad"/>
              <w:numPr>
                <w:ilvl w:val="0"/>
                <w:numId w:val="14"/>
              </w:numPr>
              <w:spacing w:line="240" w:lineRule="auto"/>
              <w:jc w:val="center"/>
              <w:rPr>
                <w:rFonts w:ascii="Calibri" w:eastAsia="Times New Roman" w:hAnsi="Calibri" w:cs="Calibri"/>
                <w:sz w:val="18"/>
                <w:szCs w:val="18"/>
              </w:rPr>
            </w:pPr>
            <w:r>
              <w:rPr>
                <w:rFonts w:ascii="Calibri" w:eastAsia="Times New Roman" w:hAnsi="Calibri" w:cs="Calibri"/>
                <w:sz w:val="18"/>
                <w:szCs w:val="18"/>
              </w:rPr>
              <w:t>Αριθμός έργων που αφορούν δημόσιες διοικήσεις ή δημόσιες υπηρεσίες σε εθνικό, περιφερειακό ή τοπικό επίπεδο</w:t>
            </w:r>
          </w:p>
        </w:tc>
      </w:tr>
      <w:tr w:rsidR="002A2422" w14:paraId="6DD3460D" w14:textId="77777777">
        <w:trPr>
          <w:tblHeader/>
        </w:trPr>
        <w:tc>
          <w:tcPr>
            <w:tcW w:w="5000" w:type="pct"/>
            <w:gridSpan w:val="6"/>
            <w:tcBorders>
              <w:bottom w:val="double" w:sz="4" w:space="0" w:color="808080"/>
            </w:tcBorders>
            <w:shd w:val="clear" w:color="auto" w:fill="808080"/>
            <w:vAlign w:val="center"/>
          </w:tcPr>
          <w:p w14:paraId="63818C95" w14:textId="77777777" w:rsidR="002A2422" w:rsidRDefault="003B3AD7">
            <w:pPr>
              <w:pStyle w:val="ad"/>
              <w:ind w:left="1080"/>
              <w:rPr>
                <w:rFonts w:ascii="Calibri" w:eastAsia="Calibri" w:hAnsi="Calibri" w:cs="Calibri"/>
                <w:b/>
                <w:bCs/>
                <w:sz w:val="18"/>
                <w:szCs w:val="18"/>
              </w:rPr>
            </w:pPr>
            <w:r>
              <w:rPr>
                <w:rFonts w:ascii="Calibri" w:eastAsia="Calibri" w:hAnsi="Calibri" w:cs="Calibri"/>
                <w:b/>
                <w:sz w:val="18"/>
                <w:szCs w:val="18"/>
                <w:u w:val="single"/>
              </w:rPr>
              <w:t xml:space="preserve">ΑΝΑΠΤΥΞΙΑΚΟΣ ΣΤΟΧΟΣ   ΕΠΑ </w:t>
            </w:r>
            <w:r>
              <w:rPr>
                <w:rFonts w:ascii="Calibri" w:eastAsia="Calibri" w:hAnsi="Calibri" w:cs="Calibri"/>
                <w:b/>
                <w:bCs/>
                <w:sz w:val="18"/>
                <w:szCs w:val="18"/>
                <w:u w:val="single"/>
              </w:rPr>
              <w:t>ΠΡΑΣΙΝΗ ΑΝΑΠΤΥΞΗ</w:t>
            </w:r>
          </w:p>
          <w:p w14:paraId="7BFB2BFB" w14:textId="77777777" w:rsidR="002A2422" w:rsidRDefault="002A2422">
            <w:pPr>
              <w:jc w:val="center"/>
              <w:rPr>
                <w:rFonts w:ascii="Calibri" w:eastAsia="Times New Roman" w:hAnsi="Calibri" w:cs="Calibri"/>
                <w:b/>
                <w:bCs/>
                <w:sz w:val="18"/>
                <w:szCs w:val="18"/>
              </w:rPr>
            </w:pPr>
          </w:p>
        </w:tc>
      </w:tr>
      <w:tr w:rsidR="002A2422" w14:paraId="12476104" w14:textId="77777777">
        <w:trPr>
          <w:tblHeader/>
        </w:trPr>
        <w:tc>
          <w:tcPr>
            <w:tcW w:w="1104" w:type="pct"/>
            <w:tcBorders>
              <w:bottom w:val="double" w:sz="4" w:space="0" w:color="808080"/>
            </w:tcBorders>
            <w:shd w:val="clear" w:color="auto" w:fill="808080"/>
            <w:vAlign w:val="center"/>
          </w:tcPr>
          <w:p w14:paraId="5D3342F4"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ΠΡΟΤΕΡΑΙΟΤΗΤΑ ΤΠΑ /ΥΠΠΟΑ</w:t>
            </w:r>
          </w:p>
        </w:tc>
        <w:tc>
          <w:tcPr>
            <w:tcW w:w="1768" w:type="pct"/>
            <w:gridSpan w:val="3"/>
            <w:tcBorders>
              <w:bottom w:val="double" w:sz="4" w:space="0" w:color="808080"/>
            </w:tcBorders>
            <w:shd w:val="clear" w:color="auto" w:fill="808080"/>
            <w:vAlign w:val="center"/>
          </w:tcPr>
          <w:p w14:paraId="129C6994"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ΑΝΤΙΣΤΟΙΧΗΣΗ ΜΕ ΠΡΟΤΕΡΑΙΟΤΗΤΑ ΕΠΑ</w:t>
            </w:r>
          </w:p>
        </w:tc>
        <w:tc>
          <w:tcPr>
            <w:tcW w:w="2128" w:type="pct"/>
            <w:gridSpan w:val="2"/>
            <w:tcBorders>
              <w:bottom w:val="double" w:sz="4" w:space="0" w:color="808080"/>
            </w:tcBorders>
            <w:shd w:val="clear" w:color="auto" w:fill="808080"/>
            <w:vAlign w:val="center"/>
          </w:tcPr>
          <w:p w14:paraId="158B0B90" w14:textId="77777777" w:rsidR="002A2422" w:rsidRDefault="003B3AD7">
            <w:pPr>
              <w:jc w:val="center"/>
              <w:rPr>
                <w:rFonts w:ascii="Calibri" w:eastAsia="Calibri" w:hAnsi="Calibri" w:cs="Calibri"/>
                <w:sz w:val="18"/>
                <w:szCs w:val="18"/>
              </w:rPr>
            </w:pPr>
            <w:r>
              <w:rPr>
                <w:rFonts w:ascii="Calibri" w:eastAsia="Times New Roman" w:hAnsi="Calibri" w:cs="Calibri"/>
                <w:b/>
                <w:bCs/>
                <w:sz w:val="18"/>
                <w:szCs w:val="18"/>
              </w:rPr>
              <w:t>ΠΡΟΤΕΙΝΟΜΕΝΟΙ ΔΕΙΚΤΕΣ</w:t>
            </w:r>
          </w:p>
        </w:tc>
      </w:tr>
      <w:tr w:rsidR="002A2422" w14:paraId="04704F45" w14:textId="77777777">
        <w:tc>
          <w:tcPr>
            <w:tcW w:w="1104" w:type="pct"/>
            <w:shd w:val="clear" w:color="auto" w:fill="auto"/>
            <w:vAlign w:val="center"/>
          </w:tcPr>
          <w:p w14:paraId="576197CA" w14:textId="77777777" w:rsidR="002A2422" w:rsidRDefault="003B3AD7">
            <w:pPr>
              <w:jc w:val="center"/>
              <w:rPr>
                <w:rFonts w:ascii="Calibri" w:eastAsia="Times New Roman" w:hAnsi="Calibri" w:cs="Calibri"/>
                <w:b/>
                <w:bCs/>
                <w:sz w:val="18"/>
                <w:szCs w:val="18"/>
              </w:rPr>
            </w:pPr>
            <w:r>
              <w:rPr>
                <w:rFonts w:ascii="Calibri" w:eastAsia="Times New Roman" w:hAnsi="Calibri" w:cs="Calibri"/>
                <w:b/>
                <w:bCs/>
                <w:sz w:val="18"/>
                <w:szCs w:val="18"/>
              </w:rPr>
              <w:t>Ανάδειξη, προστασία και αξιοποίηση της φυσικής κληρονομιάς</w:t>
            </w:r>
          </w:p>
        </w:tc>
        <w:tc>
          <w:tcPr>
            <w:tcW w:w="1768" w:type="pct"/>
            <w:gridSpan w:val="3"/>
            <w:shd w:val="clear" w:color="auto" w:fill="auto"/>
            <w:vAlign w:val="center"/>
          </w:tcPr>
          <w:p w14:paraId="56090935" w14:textId="77777777" w:rsidR="002A2422" w:rsidRDefault="003B3AD7">
            <w:pPr>
              <w:jc w:val="center"/>
              <w:rPr>
                <w:rFonts w:ascii="Calibri" w:hAnsi="Calibri" w:cs="Calibri"/>
                <w:b/>
                <w:bCs/>
                <w:sz w:val="18"/>
                <w:szCs w:val="18"/>
              </w:rPr>
            </w:pPr>
            <w:r>
              <w:rPr>
                <w:rFonts w:ascii="Calibri" w:hAnsi="Calibri" w:cs="Calibri"/>
                <w:b/>
                <w:bCs/>
                <w:sz w:val="18"/>
                <w:szCs w:val="18"/>
              </w:rPr>
              <w:t>2.10</w:t>
            </w:r>
          </w:p>
          <w:p w14:paraId="33B31484" w14:textId="77777777" w:rsidR="002A2422" w:rsidRDefault="002A2422">
            <w:pPr>
              <w:autoSpaceDE w:val="0"/>
              <w:autoSpaceDN w:val="0"/>
              <w:adjustRightInd w:val="0"/>
              <w:jc w:val="center"/>
              <w:rPr>
                <w:rFonts w:ascii="Calibri" w:eastAsia="Times New Roman" w:hAnsi="Calibri" w:cs="Calibri"/>
                <w:b/>
                <w:bCs/>
                <w:sz w:val="18"/>
                <w:szCs w:val="18"/>
              </w:rPr>
            </w:pPr>
          </w:p>
        </w:tc>
        <w:tc>
          <w:tcPr>
            <w:tcW w:w="2128" w:type="pct"/>
            <w:gridSpan w:val="2"/>
            <w:shd w:val="clear" w:color="auto" w:fill="FFFFFF"/>
            <w:vAlign w:val="center"/>
          </w:tcPr>
          <w:p w14:paraId="7826D2C2" w14:textId="77777777" w:rsidR="002A2422" w:rsidRDefault="003B3AD7">
            <w:pPr>
              <w:pStyle w:val="ad"/>
              <w:numPr>
                <w:ilvl w:val="0"/>
                <w:numId w:val="16"/>
              </w:numPr>
              <w:spacing w:line="240" w:lineRule="auto"/>
              <w:jc w:val="center"/>
              <w:rPr>
                <w:rFonts w:ascii="Calibri" w:eastAsia="Times New Roman" w:hAnsi="Calibri" w:cs="Calibri"/>
                <w:b/>
                <w:bCs/>
                <w:sz w:val="18"/>
                <w:szCs w:val="18"/>
              </w:rPr>
            </w:pPr>
            <w:r>
              <w:rPr>
                <w:rFonts w:ascii="Calibri" w:eastAsia="Times New Roman" w:hAnsi="Calibri" w:cs="Calibri"/>
                <w:sz w:val="18"/>
                <w:szCs w:val="18"/>
              </w:rPr>
              <w:t>Ενέργειες προβολής των φυσικών και πολιτιστικών πόρων</w:t>
            </w:r>
          </w:p>
        </w:tc>
      </w:tr>
      <w:tr w:rsidR="002A2422" w14:paraId="71D4E6B3" w14:textId="77777777">
        <w:trPr>
          <w:tblHeader/>
        </w:trPr>
        <w:tc>
          <w:tcPr>
            <w:tcW w:w="5000" w:type="pct"/>
            <w:gridSpan w:val="6"/>
            <w:tcBorders>
              <w:bottom w:val="double" w:sz="4" w:space="0" w:color="808080"/>
            </w:tcBorders>
            <w:shd w:val="clear" w:color="auto" w:fill="808080"/>
            <w:vAlign w:val="center"/>
          </w:tcPr>
          <w:p w14:paraId="639DC808" w14:textId="77777777" w:rsidR="002A2422" w:rsidRDefault="003B3AD7">
            <w:pPr>
              <w:jc w:val="center"/>
              <w:rPr>
                <w:rFonts w:ascii="Calibri" w:eastAsia="Calibri" w:hAnsi="Calibri" w:cs="Calibri"/>
                <w:b/>
                <w:bCs/>
                <w:sz w:val="18"/>
                <w:szCs w:val="18"/>
              </w:rPr>
            </w:pPr>
            <w:r>
              <w:rPr>
                <w:rFonts w:ascii="Calibri" w:eastAsia="Calibri" w:hAnsi="Calibri" w:cs="Calibri"/>
                <w:b/>
                <w:sz w:val="18"/>
                <w:szCs w:val="18"/>
                <w:u w:val="single"/>
              </w:rPr>
              <w:t xml:space="preserve">ΑΝΑΠΤΥΞΙΑΚΟΣ ΣΤΟΧΟΣ   ΕΠΑ </w:t>
            </w:r>
            <w:r>
              <w:rPr>
                <w:rFonts w:ascii="Calibri" w:eastAsia="Calibri" w:hAnsi="Calibri" w:cs="Calibri"/>
                <w:b/>
                <w:bCs/>
                <w:sz w:val="18"/>
                <w:szCs w:val="18"/>
                <w:u w:val="single"/>
              </w:rPr>
              <w:t xml:space="preserve"> ΚΟΙΝΩΝΙΚΗ  ΑΝΑΠΤΥΞΗ</w:t>
            </w:r>
          </w:p>
          <w:p w14:paraId="370FBD10" w14:textId="77777777" w:rsidR="002A2422" w:rsidRDefault="002A2422">
            <w:pPr>
              <w:jc w:val="center"/>
              <w:rPr>
                <w:rFonts w:ascii="Calibri" w:eastAsia="Times New Roman" w:hAnsi="Calibri" w:cs="Calibri"/>
                <w:b/>
                <w:bCs/>
                <w:sz w:val="18"/>
                <w:szCs w:val="18"/>
              </w:rPr>
            </w:pPr>
          </w:p>
        </w:tc>
      </w:tr>
      <w:tr w:rsidR="002A2422" w14:paraId="1CCB90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4" w:type="pct"/>
            <w:tcBorders>
              <w:bottom w:val="double" w:sz="4" w:space="0" w:color="808080"/>
            </w:tcBorders>
            <w:shd w:val="clear" w:color="auto" w:fill="808080"/>
            <w:vAlign w:val="center"/>
          </w:tcPr>
          <w:p w14:paraId="0FA363B5"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ΠΡΟΤΕΡΑΙΟΤΗΤΑ ΤΠΑ /ΥΠΠΟΑ</w:t>
            </w:r>
          </w:p>
        </w:tc>
        <w:tc>
          <w:tcPr>
            <w:tcW w:w="1768" w:type="pct"/>
            <w:gridSpan w:val="3"/>
            <w:tcBorders>
              <w:bottom w:val="double" w:sz="4" w:space="0" w:color="808080"/>
            </w:tcBorders>
            <w:shd w:val="clear" w:color="auto" w:fill="808080"/>
            <w:vAlign w:val="center"/>
          </w:tcPr>
          <w:p w14:paraId="0A34C1D7"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ΑΝΤΙΣΤΟΙΧΗΣΗ ΜΕ ΠΡΟΤΕΡΑΙΟΤΗΤΑ ΕΠΑ</w:t>
            </w:r>
          </w:p>
        </w:tc>
        <w:tc>
          <w:tcPr>
            <w:tcW w:w="2128" w:type="pct"/>
            <w:gridSpan w:val="2"/>
            <w:tcBorders>
              <w:bottom w:val="double" w:sz="4" w:space="0" w:color="808080"/>
            </w:tcBorders>
            <w:shd w:val="clear" w:color="auto" w:fill="808080"/>
            <w:vAlign w:val="center"/>
          </w:tcPr>
          <w:p w14:paraId="24FD1998" w14:textId="77777777" w:rsidR="002A2422" w:rsidRDefault="003B3AD7">
            <w:pPr>
              <w:spacing w:line="240" w:lineRule="auto"/>
              <w:jc w:val="center"/>
              <w:rPr>
                <w:rFonts w:ascii="Calibri" w:eastAsia="Times New Roman" w:hAnsi="Calibri" w:cs="Calibri"/>
                <w:b/>
                <w:bCs/>
                <w:sz w:val="18"/>
                <w:szCs w:val="18"/>
              </w:rPr>
            </w:pPr>
            <w:r>
              <w:rPr>
                <w:rFonts w:ascii="Calibri" w:eastAsia="Times New Roman" w:hAnsi="Calibri" w:cs="Calibri"/>
                <w:b/>
                <w:bCs/>
                <w:sz w:val="18"/>
                <w:szCs w:val="18"/>
              </w:rPr>
              <w:t>ΠΡΟΤΕΙΝΟΜΕΝΟΙ ΔΕΙΚΤΕΣ</w:t>
            </w:r>
          </w:p>
        </w:tc>
      </w:tr>
      <w:tr w:rsidR="002A2422" w14:paraId="2705E1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4" w:type="pct"/>
            <w:shd w:val="clear" w:color="auto" w:fill="auto"/>
          </w:tcPr>
          <w:p w14:paraId="4871300B" w14:textId="77777777" w:rsidR="002A2422" w:rsidRDefault="003B3AD7">
            <w:pPr>
              <w:autoSpaceDE w:val="0"/>
              <w:autoSpaceDN w:val="0"/>
              <w:adjustRightInd w:val="0"/>
              <w:jc w:val="center"/>
              <w:rPr>
                <w:rFonts w:ascii="Calibri" w:eastAsia="Times New Roman" w:hAnsi="Calibri" w:cs="Calibri"/>
                <w:sz w:val="18"/>
                <w:szCs w:val="18"/>
              </w:rPr>
            </w:pPr>
            <w:r>
              <w:rPr>
                <w:rFonts w:ascii="Calibri" w:eastAsia="Times New Roman" w:hAnsi="Calibri" w:cs="Calibri"/>
                <w:b/>
                <w:bCs/>
                <w:sz w:val="18"/>
                <w:szCs w:val="18"/>
              </w:rPr>
              <w:lastRenderedPageBreak/>
              <w:t>Τόνωση των πολιτικών απασχόλησης</w:t>
            </w:r>
          </w:p>
        </w:tc>
        <w:tc>
          <w:tcPr>
            <w:tcW w:w="1768" w:type="pct"/>
            <w:gridSpan w:val="3"/>
            <w:shd w:val="clear" w:color="auto" w:fill="auto"/>
          </w:tcPr>
          <w:p w14:paraId="394CEC8A"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3.2</w:t>
            </w:r>
          </w:p>
        </w:tc>
        <w:tc>
          <w:tcPr>
            <w:tcW w:w="2128" w:type="pct"/>
            <w:gridSpan w:val="2"/>
            <w:shd w:val="clear" w:color="auto" w:fill="auto"/>
          </w:tcPr>
          <w:p w14:paraId="571B3C1A" w14:textId="77777777" w:rsidR="002A2422" w:rsidRDefault="003B3AD7">
            <w:pPr>
              <w:pStyle w:val="ad"/>
              <w:numPr>
                <w:ilvl w:val="0"/>
                <w:numId w:val="14"/>
              </w:numPr>
              <w:spacing w:line="240" w:lineRule="auto"/>
              <w:jc w:val="center"/>
              <w:rPr>
                <w:rFonts w:ascii="Calibri" w:eastAsia="Times New Roman" w:hAnsi="Calibri" w:cs="Calibri"/>
                <w:sz w:val="18"/>
                <w:szCs w:val="18"/>
              </w:rPr>
            </w:pPr>
            <w:r>
              <w:rPr>
                <w:rFonts w:ascii="Calibri" w:eastAsia="Times New Roman" w:hAnsi="Calibri" w:cs="Calibri"/>
                <w:sz w:val="18"/>
                <w:szCs w:val="18"/>
              </w:rPr>
              <w:t>Απασχολούμενοι, συμπεριλαμβανομένων των μακροχρόνια ανέργων</w:t>
            </w:r>
          </w:p>
          <w:p w14:paraId="4ADDA6B5" w14:textId="77777777" w:rsidR="002A2422" w:rsidRDefault="002A2422">
            <w:pPr>
              <w:pStyle w:val="ad"/>
              <w:spacing w:line="240" w:lineRule="auto"/>
              <w:ind w:left="360"/>
              <w:rPr>
                <w:rFonts w:ascii="Calibri" w:eastAsia="Times New Roman" w:hAnsi="Calibri" w:cs="Calibri"/>
                <w:sz w:val="18"/>
                <w:szCs w:val="18"/>
              </w:rPr>
            </w:pPr>
          </w:p>
          <w:p w14:paraId="345151DC" w14:textId="77777777" w:rsidR="002A2422" w:rsidRDefault="003B3AD7">
            <w:pPr>
              <w:pStyle w:val="ad"/>
              <w:numPr>
                <w:ilvl w:val="0"/>
                <w:numId w:val="14"/>
              </w:numPr>
              <w:spacing w:line="240" w:lineRule="auto"/>
              <w:jc w:val="center"/>
              <w:rPr>
                <w:rFonts w:ascii="Calibri" w:eastAsia="Times New Roman" w:hAnsi="Calibri" w:cs="Calibri"/>
                <w:sz w:val="18"/>
                <w:szCs w:val="18"/>
              </w:rPr>
            </w:pPr>
            <w:r>
              <w:rPr>
                <w:rFonts w:ascii="Calibri" w:eastAsia="Times New Roman" w:hAnsi="Calibri"/>
                <w:sz w:val="18"/>
                <w:szCs w:val="18"/>
              </w:rPr>
              <w:t>Απασχολούμενοι, συμπεριλαμβανομένων των αυτοαπασχολουμένων</w:t>
            </w:r>
          </w:p>
          <w:p w14:paraId="2EBE322D" w14:textId="77777777" w:rsidR="002A2422" w:rsidRDefault="002A2422">
            <w:pPr>
              <w:pStyle w:val="ad"/>
              <w:numPr>
                <w:ilvl w:val="0"/>
                <w:numId w:val="14"/>
              </w:numPr>
              <w:spacing w:line="240" w:lineRule="auto"/>
              <w:jc w:val="center"/>
              <w:rPr>
                <w:rFonts w:ascii="Calibri" w:eastAsia="Times New Roman" w:hAnsi="Calibri" w:cs="Calibri"/>
                <w:sz w:val="18"/>
                <w:szCs w:val="18"/>
              </w:rPr>
            </w:pPr>
          </w:p>
          <w:p w14:paraId="5197A63D" w14:textId="77777777" w:rsidR="002A2422" w:rsidRDefault="003B3AD7">
            <w:pPr>
              <w:pStyle w:val="ad"/>
              <w:numPr>
                <w:ilvl w:val="0"/>
                <w:numId w:val="14"/>
              </w:numPr>
              <w:spacing w:line="240" w:lineRule="auto"/>
              <w:jc w:val="center"/>
              <w:rPr>
                <w:rFonts w:ascii="Calibri" w:eastAsia="Times New Roman" w:hAnsi="Calibri" w:cs="Calibri"/>
                <w:sz w:val="18"/>
                <w:szCs w:val="18"/>
              </w:rPr>
            </w:pPr>
            <w:r>
              <w:rPr>
                <w:rFonts w:ascii="Calibri" w:eastAsia="Times New Roman" w:hAnsi="Calibri" w:cs="Calibri"/>
                <w:sz w:val="18"/>
                <w:szCs w:val="18"/>
              </w:rPr>
              <w:t>Ποσοστό απασχόλησης ατόμων 25-34 ετών, με ανώτερη δευτεροβάθμια ή μετά-δευτεροβάθμια μη τριτοβάθμια εκπαίδευση</w:t>
            </w:r>
          </w:p>
          <w:p w14:paraId="41D14D59" w14:textId="77777777" w:rsidR="002A2422" w:rsidRDefault="002A2422">
            <w:pPr>
              <w:jc w:val="center"/>
              <w:rPr>
                <w:rFonts w:ascii="Calibri" w:eastAsia="Times New Roman" w:hAnsi="Calibri" w:cs="Calibri"/>
                <w:sz w:val="18"/>
                <w:szCs w:val="18"/>
              </w:rPr>
            </w:pPr>
          </w:p>
          <w:p w14:paraId="15912B59" w14:textId="77777777" w:rsidR="002A2422" w:rsidRDefault="003B3AD7">
            <w:pPr>
              <w:pStyle w:val="ad"/>
              <w:numPr>
                <w:ilvl w:val="0"/>
                <w:numId w:val="14"/>
              </w:numPr>
              <w:spacing w:line="240" w:lineRule="auto"/>
              <w:jc w:val="center"/>
              <w:rPr>
                <w:rFonts w:ascii="Calibri" w:eastAsia="Times New Roman" w:hAnsi="Calibri" w:cs="Calibri"/>
                <w:sz w:val="18"/>
                <w:szCs w:val="18"/>
              </w:rPr>
            </w:pPr>
            <w:r>
              <w:rPr>
                <w:rFonts w:ascii="Calibri" w:eastAsia="Times New Roman" w:hAnsi="Calibri" w:cs="Calibri"/>
                <w:sz w:val="18"/>
                <w:szCs w:val="18"/>
              </w:rPr>
              <w:t>Ποσοστό απασχόλησης πρόσφατων αποφοίτων, % του πληθυσμού ηλικίας 20-34</w:t>
            </w:r>
          </w:p>
          <w:p w14:paraId="7D38AAE7" w14:textId="77777777" w:rsidR="002A2422" w:rsidRDefault="002A2422">
            <w:pPr>
              <w:pStyle w:val="ad"/>
              <w:spacing w:line="240" w:lineRule="auto"/>
              <w:ind w:left="0"/>
              <w:jc w:val="center"/>
              <w:rPr>
                <w:rFonts w:ascii="Calibri" w:eastAsia="Times New Roman" w:hAnsi="Calibri" w:cs="Calibri"/>
                <w:sz w:val="18"/>
                <w:szCs w:val="18"/>
              </w:rPr>
            </w:pPr>
          </w:p>
          <w:p w14:paraId="02015B41" w14:textId="77777777" w:rsidR="002A2422" w:rsidRDefault="003B3AD7">
            <w:pPr>
              <w:pStyle w:val="ad"/>
              <w:numPr>
                <w:ilvl w:val="0"/>
                <w:numId w:val="14"/>
              </w:numPr>
              <w:spacing w:line="240" w:lineRule="auto"/>
              <w:jc w:val="center"/>
              <w:rPr>
                <w:rFonts w:ascii="Calibri" w:eastAsia="Times New Roman" w:hAnsi="Calibri" w:cs="Calibri"/>
                <w:sz w:val="18"/>
                <w:szCs w:val="18"/>
              </w:rPr>
            </w:pPr>
            <w:proofErr w:type="spellStart"/>
            <w:r>
              <w:rPr>
                <w:rFonts w:ascii="Calibri" w:eastAsia="Times New Roman" w:hAnsi="Calibri" w:cs="Calibri"/>
                <w:sz w:val="18"/>
                <w:szCs w:val="18"/>
              </w:rPr>
              <w:t>Μειονεκτούντα</w:t>
            </w:r>
            <w:proofErr w:type="spellEnd"/>
            <w:r>
              <w:rPr>
                <w:rFonts w:ascii="Calibri" w:eastAsia="Times New Roman" w:hAnsi="Calibri" w:cs="Calibri"/>
                <w:sz w:val="18"/>
                <w:szCs w:val="18"/>
              </w:rPr>
              <w:t xml:space="preserve"> άτομα που δραστηριοποιούνται σε αναζήτηση εργασίας, που συμμετέχουν σε εκπαίδευση /κατάρτιση, που αποκτούν εξειδίκευση, που κατέχουν θέση απασχόλησης, συμπεριλαμβανομένης της </w:t>
            </w:r>
            <w:proofErr w:type="spellStart"/>
            <w:r>
              <w:rPr>
                <w:rFonts w:ascii="Calibri" w:eastAsia="Times New Roman" w:hAnsi="Calibri" w:cs="Calibri"/>
                <w:sz w:val="18"/>
                <w:szCs w:val="18"/>
              </w:rPr>
              <w:t>αυτοαπασχόλησης</w:t>
            </w:r>
            <w:proofErr w:type="spellEnd"/>
            <w:r>
              <w:rPr>
                <w:rFonts w:ascii="Calibri" w:eastAsia="Times New Roman" w:hAnsi="Calibri" w:cs="Calibri"/>
                <w:sz w:val="18"/>
                <w:szCs w:val="18"/>
              </w:rPr>
              <w:t>, αμέσως μετά τη λήξη της συμμετοχής τους</w:t>
            </w:r>
          </w:p>
          <w:p w14:paraId="09167F7E" w14:textId="77777777" w:rsidR="002A2422" w:rsidRDefault="002A2422">
            <w:pPr>
              <w:widowControl w:val="0"/>
              <w:autoSpaceDE w:val="0"/>
              <w:autoSpaceDN w:val="0"/>
              <w:adjustRightInd w:val="0"/>
              <w:spacing w:before="40" w:after="40"/>
              <w:jc w:val="center"/>
              <w:rPr>
                <w:rFonts w:ascii="Calibri" w:eastAsia="Times New Roman" w:hAnsi="Calibri" w:cs="Calibri"/>
                <w:sz w:val="18"/>
                <w:szCs w:val="18"/>
              </w:rPr>
            </w:pPr>
          </w:p>
          <w:p w14:paraId="3F25C511" w14:textId="77777777" w:rsidR="002A2422" w:rsidRDefault="002A2422">
            <w:pPr>
              <w:widowControl w:val="0"/>
              <w:autoSpaceDE w:val="0"/>
              <w:autoSpaceDN w:val="0"/>
              <w:adjustRightInd w:val="0"/>
              <w:spacing w:before="40" w:after="40"/>
              <w:jc w:val="center"/>
              <w:rPr>
                <w:rFonts w:ascii="Calibri" w:eastAsia="Times New Roman" w:hAnsi="Calibri" w:cs="Calibri"/>
                <w:sz w:val="18"/>
                <w:szCs w:val="18"/>
              </w:rPr>
            </w:pPr>
          </w:p>
        </w:tc>
      </w:tr>
      <w:tr w:rsidR="002A2422" w14:paraId="736B84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4" w:type="pct"/>
            <w:shd w:val="clear" w:color="auto" w:fill="auto"/>
          </w:tcPr>
          <w:p w14:paraId="27B44EB7" w14:textId="77777777" w:rsidR="002A2422" w:rsidRDefault="003B3AD7">
            <w:pPr>
              <w:jc w:val="center"/>
              <w:rPr>
                <w:rFonts w:ascii="Calibri" w:eastAsia="Times New Roman" w:hAnsi="Calibri" w:cs="Calibri"/>
                <w:b/>
                <w:bCs/>
                <w:sz w:val="18"/>
                <w:szCs w:val="18"/>
              </w:rPr>
            </w:pPr>
            <w:r>
              <w:rPr>
                <w:rFonts w:ascii="Calibri" w:eastAsia="Times New Roman" w:hAnsi="Calibri" w:cs="Calibri"/>
                <w:b/>
                <w:bCs/>
                <w:sz w:val="18"/>
                <w:szCs w:val="18"/>
              </w:rPr>
              <w:t>Ενίσχυση υποδομών για βελτίωση της οικονομικής και κοινωνικής ενσωμάτωσης</w:t>
            </w:r>
          </w:p>
        </w:tc>
        <w:tc>
          <w:tcPr>
            <w:tcW w:w="1768" w:type="pct"/>
            <w:gridSpan w:val="3"/>
            <w:shd w:val="clear" w:color="auto" w:fill="auto"/>
          </w:tcPr>
          <w:p w14:paraId="4B3C82C5" w14:textId="77777777" w:rsidR="002A2422" w:rsidRDefault="003B3AD7">
            <w:pPr>
              <w:jc w:val="center"/>
              <w:rPr>
                <w:rFonts w:ascii="Calibri" w:hAnsi="Calibri" w:cs="Calibri"/>
                <w:b/>
                <w:bCs/>
                <w:sz w:val="18"/>
                <w:szCs w:val="18"/>
              </w:rPr>
            </w:pPr>
            <w:r>
              <w:rPr>
                <w:rFonts w:ascii="Calibri" w:hAnsi="Calibri" w:cs="Calibri"/>
                <w:b/>
                <w:bCs/>
                <w:sz w:val="18"/>
                <w:szCs w:val="18"/>
              </w:rPr>
              <w:t>3.4</w:t>
            </w:r>
          </w:p>
        </w:tc>
        <w:tc>
          <w:tcPr>
            <w:tcW w:w="2128" w:type="pct"/>
            <w:gridSpan w:val="2"/>
            <w:shd w:val="clear" w:color="auto" w:fill="auto"/>
          </w:tcPr>
          <w:p w14:paraId="6B71938F" w14:textId="77777777" w:rsidR="002A2422" w:rsidRDefault="002A2422">
            <w:pPr>
              <w:pStyle w:val="ad"/>
              <w:spacing w:line="240" w:lineRule="auto"/>
              <w:jc w:val="center"/>
              <w:rPr>
                <w:rFonts w:ascii="Calibri" w:eastAsia="Times New Roman" w:hAnsi="Calibri" w:cs="Calibri"/>
                <w:b/>
                <w:bCs/>
                <w:sz w:val="18"/>
                <w:szCs w:val="18"/>
              </w:rPr>
            </w:pPr>
          </w:p>
          <w:p w14:paraId="7F36C689" w14:textId="77777777" w:rsidR="002A2422" w:rsidRDefault="003B3AD7">
            <w:pPr>
              <w:tabs>
                <w:tab w:val="left" w:pos="1190"/>
              </w:tabs>
              <w:ind w:left="110" w:hangingChars="50" w:hanging="110"/>
            </w:pPr>
            <w:r>
              <w:tab/>
              <w:t>•</w:t>
            </w:r>
            <w:r>
              <w:tab/>
            </w:r>
            <w:r>
              <w:rPr>
                <w:rFonts w:asciiTheme="minorHAnsi" w:hAnsiTheme="minorHAnsi" w:cstheme="minorHAnsi"/>
                <w:sz w:val="18"/>
                <w:szCs w:val="18"/>
              </w:rPr>
              <w:t>Αριθμός έργων και δράσεων υποστήριξης ΑΜΕΑ και άλλων ευάλωτων κοινωνικών ομάδων</w:t>
            </w:r>
          </w:p>
        </w:tc>
      </w:tr>
      <w:tr w:rsidR="002A2422" w14:paraId="7ADA91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4" w:type="pct"/>
            <w:shd w:val="clear" w:color="auto" w:fill="auto"/>
          </w:tcPr>
          <w:p w14:paraId="7EB60AE3" w14:textId="77777777" w:rsidR="002A2422" w:rsidRDefault="003B3AD7">
            <w:pPr>
              <w:jc w:val="center"/>
              <w:rPr>
                <w:rFonts w:ascii="Calibri" w:eastAsia="Times New Roman" w:hAnsi="Calibri" w:cs="Calibri"/>
                <w:b/>
                <w:bCs/>
                <w:sz w:val="18"/>
                <w:szCs w:val="18"/>
                <w:highlight w:val="yellow"/>
              </w:rPr>
            </w:pPr>
            <w:r>
              <w:rPr>
                <w:rFonts w:ascii="Calibri" w:eastAsia="Times New Roman" w:hAnsi="Calibri" w:cs="Calibri"/>
                <w:b/>
                <w:bCs/>
                <w:sz w:val="18"/>
                <w:szCs w:val="18"/>
              </w:rPr>
              <w:t>Υποδομές και δράσεις σύγχρονου πολιτισμού</w:t>
            </w:r>
          </w:p>
        </w:tc>
        <w:tc>
          <w:tcPr>
            <w:tcW w:w="1768" w:type="pct"/>
            <w:gridSpan w:val="3"/>
            <w:shd w:val="clear" w:color="auto" w:fill="auto"/>
          </w:tcPr>
          <w:p w14:paraId="28CCA5C5" w14:textId="77777777" w:rsidR="002A2422" w:rsidRDefault="003B3AD7">
            <w:pPr>
              <w:jc w:val="center"/>
              <w:rPr>
                <w:rFonts w:ascii="Calibri" w:hAnsi="Calibri" w:cs="Calibri"/>
                <w:b/>
                <w:bCs/>
                <w:sz w:val="18"/>
                <w:szCs w:val="18"/>
                <w:highlight w:val="yellow"/>
              </w:rPr>
            </w:pPr>
            <w:r>
              <w:rPr>
                <w:rFonts w:ascii="Calibri" w:hAnsi="Calibri" w:cs="Calibri"/>
                <w:b/>
                <w:bCs/>
                <w:sz w:val="18"/>
                <w:szCs w:val="18"/>
              </w:rPr>
              <w:t>3.6</w:t>
            </w:r>
          </w:p>
        </w:tc>
        <w:tc>
          <w:tcPr>
            <w:tcW w:w="2128" w:type="pct"/>
            <w:gridSpan w:val="2"/>
            <w:shd w:val="clear" w:color="auto" w:fill="auto"/>
          </w:tcPr>
          <w:p w14:paraId="4E00416B" w14:textId="77777777" w:rsidR="002A2422" w:rsidRDefault="003B3AD7">
            <w:pPr>
              <w:pStyle w:val="ad"/>
              <w:spacing w:line="240" w:lineRule="auto"/>
              <w:ind w:left="0"/>
              <w:rPr>
                <w:rFonts w:ascii="Calibri" w:eastAsia="Times New Roman" w:hAnsi="Calibri" w:cs="Calibri"/>
                <w:sz w:val="18"/>
                <w:szCs w:val="18"/>
                <w:highlight w:val="yellow"/>
              </w:rPr>
            </w:pPr>
            <w:r>
              <w:tab/>
              <w:t>•</w:t>
            </w:r>
            <w:r>
              <w:rPr>
                <w:rFonts w:ascii="Calibri" w:eastAsia="Times New Roman" w:hAnsi="Calibri" w:cs="Calibri"/>
                <w:sz w:val="18"/>
                <w:szCs w:val="18"/>
              </w:rPr>
              <w:t xml:space="preserve">Αριθμός δράσεων σύγχρονου πολιτισμού  που ενισχύονται </w:t>
            </w:r>
          </w:p>
        </w:tc>
      </w:tr>
      <w:tr w:rsidR="002A2422" w14:paraId="0C4D93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4" w:type="pct"/>
            <w:shd w:val="clear" w:color="auto" w:fill="auto"/>
          </w:tcPr>
          <w:p w14:paraId="2E05BC66" w14:textId="77777777" w:rsidR="002A2422" w:rsidRDefault="003B3AD7">
            <w:pPr>
              <w:jc w:val="center"/>
              <w:rPr>
                <w:rFonts w:ascii="Calibri" w:eastAsia="Times New Roman" w:hAnsi="Calibri" w:cs="Calibri"/>
                <w:b/>
                <w:bCs/>
                <w:sz w:val="18"/>
                <w:szCs w:val="18"/>
              </w:rPr>
            </w:pPr>
            <w:r>
              <w:rPr>
                <w:rFonts w:ascii="Calibri" w:eastAsia="Times New Roman" w:hAnsi="Calibri"/>
                <w:b/>
                <w:bCs/>
                <w:sz w:val="18"/>
                <w:szCs w:val="18"/>
              </w:rPr>
              <w:t>Προσέλκυση καταρτισμένων Ελλήνων από το εξωτερικό (</w:t>
            </w:r>
            <w:proofErr w:type="spellStart"/>
            <w:r>
              <w:rPr>
                <w:rFonts w:ascii="Calibri" w:eastAsia="Times New Roman" w:hAnsi="Calibri"/>
                <w:b/>
                <w:bCs/>
                <w:sz w:val="18"/>
                <w:szCs w:val="18"/>
              </w:rPr>
              <w:t>Brain</w:t>
            </w:r>
            <w:proofErr w:type="spellEnd"/>
            <w:r>
              <w:rPr>
                <w:rFonts w:ascii="Calibri" w:eastAsia="Times New Roman" w:hAnsi="Calibri"/>
                <w:b/>
                <w:bCs/>
                <w:sz w:val="18"/>
                <w:szCs w:val="18"/>
              </w:rPr>
              <w:t xml:space="preserve"> </w:t>
            </w:r>
            <w:proofErr w:type="spellStart"/>
            <w:r>
              <w:rPr>
                <w:rFonts w:ascii="Calibri" w:eastAsia="Times New Roman" w:hAnsi="Calibri"/>
                <w:b/>
                <w:bCs/>
                <w:sz w:val="18"/>
                <w:szCs w:val="18"/>
              </w:rPr>
              <w:t>Gain</w:t>
            </w:r>
            <w:proofErr w:type="spellEnd"/>
            <w:r>
              <w:rPr>
                <w:rFonts w:ascii="Calibri" w:eastAsia="Times New Roman" w:hAnsi="Calibri"/>
                <w:b/>
                <w:bCs/>
                <w:sz w:val="18"/>
                <w:szCs w:val="18"/>
              </w:rPr>
              <w:t>)</w:t>
            </w:r>
            <w:r>
              <w:rPr>
                <w:rFonts w:ascii="Calibri" w:eastAsia="Times New Roman" w:hAnsi="Calibri" w:cs="Calibri"/>
                <w:b/>
                <w:bCs/>
                <w:sz w:val="18"/>
                <w:szCs w:val="18"/>
              </w:rPr>
              <w:t xml:space="preserve"> </w:t>
            </w:r>
          </w:p>
        </w:tc>
        <w:tc>
          <w:tcPr>
            <w:tcW w:w="1768" w:type="pct"/>
            <w:gridSpan w:val="3"/>
            <w:shd w:val="clear" w:color="auto" w:fill="auto"/>
          </w:tcPr>
          <w:p w14:paraId="2D196528" w14:textId="77777777" w:rsidR="002A2422" w:rsidRDefault="003B3AD7">
            <w:pPr>
              <w:jc w:val="center"/>
              <w:rPr>
                <w:rFonts w:ascii="Calibri" w:hAnsi="Calibri" w:cs="Calibri"/>
                <w:b/>
                <w:bCs/>
                <w:sz w:val="18"/>
                <w:szCs w:val="18"/>
              </w:rPr>
            </w:pPr>
            <w:r>
              <w:rPr>
                <w:rFonts w:ascii="Calibri" w:hAnsi="Calibri" w:cs="Calibri"/>
                <w:b/>
                <w:bCs/>
                <w:sz w:val="18"/>
                <w:szCs w:val="18"/>
              </w:rPr>
              <w:t>3.12</w:t>
            </w:r>
          </w:p>
          <w:p w14:paraId="424A69AD" w14:textId="77777777" w:rsidR="002A2422" w:rsidRDefault="002A2422">
            <w:pPr>
              <w:autoSpaceDE w:val="0"/>
              <w:autoSpaceDN w:val="0"/>
              <w:adjustRightInd w:val="0"/>
              <w:jc w:val="center"/>
              <w:rPr>
                <w:rFonts w:ascii="Calibri" w:eastAsia="Times New Roman" w:hAnsi="Calibri" w:cs="Calibri"/>
                <w:b/>
                <w:bCs/>
                <w:sz w:val="18"/>
                <w:szCs w:val="18"/>
              </w:rPr>
            </w:pPr>
          </w:p>
        </w:tc>
        <w:tc>
          <w:tcPr>
            <w:tcW w:w="2128" w:type="pct"/>
            <w:gridSpan w:val="2"/>
            <w:shd w:val="clear" w:color="auto" w:fill="auto"/>
          </w:tcPr>
          <w:p w14:paraId="3BC4E9E4" w14:textId="77777777" w:rsidR="002A2422" w:rsidRDefault="003B3AD7">
            <w:pPr>
              <w:pStyle w:val="ad"/>
              <w:spacing w:line="240" w:lineRule="auto"/>
              <w:jc w:val="center"/>
              <w:rPr>
                <w:rFonts w:ascii="Calibri" w:eastAsia="Times New Roman" w:hAnsi="Calibri" w:cs="Calibri"/>
                <w:b/>
                <w:bCs/>
                <w:sz w:val="18"/>
                <w:szCs w:val="18"/>
              </w:rPr>
            </w:pPr>
            <w:r>
              <w:rPr>
                <w:rFonts w:ascii="Calibri" w:eastAsia="Times New Roman" w:hAnsi="Calibri" w:cs="Calibri"/>
                <w:b/>
                <w:bCs/>
                <w:sz w:val="18"/>
                <w:szCs w:val="18"/>
              </w:rPr>
              <w:t>•</w:t>
            </w:r>
            <w:r>
              <w:rPr>
                <w:rFonts w:ascii="Calibri" w:eastAsia="Times New Roman" w:hAnsi="Calibri"/>
                <w:sz w:val="18"/>
                <w:szCs w:val="18"/>
              </w:rPr>
              <w:t xml:space="preserve">Αριθμός </w:t>
            </w:r>
            <w:proofErr w:type="spellStart"/>
            <w:r>
              <w:rPr>
                <w:rFonts w:ascii="Calibri" w:eastAsia="Times New Roman" w:hAnsi="Calibri"/>
                <w:sz w:val="18"/>
                <w:szCs w:val="18"/>
              </w:rPr>
              <w:t>ωφελουμένων</w:t>
            </w:r>
            <w:proofErr w:type="spellEnd"/>
            <w:r>
              <w:rPr>
                <w:rFonts w:ascii="Calibri" w:eastAsia="Times New Roman" w:hAnsi="Calibri"/>
                <w:sz w:val="18"/>
                <w:szCs w:val="18"/>
              </w:rPr>
              <w:t xml:space="preserve"> καλλιτεχνών και πολιτιστικών εργαζόμενων</w:t>
            </w:r>
            <w:r>
              <w:rPr>
                <w:rFonts w:ascii="Calibri" w:eastAsia="Times New Roman" w:hAnsi="Calibri" w:cs="Calibri"/>
                <w:sz w:val="18"/>
                <w:szCs w:val="18"/>
              </w:rPr>
              <w:tab/>
            </w:r>
          </w:p>
        </w:tc>
      </w:tr>
      <w:tr w:rsidR="002A2422" w14:paraId="55D85887" w14:textId="77777777">
        <w:trPr>
          <w:tblHeader/>
        </w:trPr>
        <w:tc>
          <w:tcPr>
            <w:tcW w:w="5000" w:type="pct"/>
            <w:gridSpan w:val="6"/>
            <w:tcBorders>
              <w:bottom w:val="double" w:sz="4" w:space="0" w:color="808080"/>
            </w:tcBorders>
            <w:shd w:val="clear" w:color="auto" w:fill="808080"/>
            <w:vAlign w:val="center"/>
          </w:tcPr>
          <w:p w14:paraId="17289CB0" w14:textId="77777777" w:rsidR="002A2422" w:rsidRDefault="003B3AD7">
            <w:pPr>
              <w:ind w:left="360"/>
              <w:jc w:val="center"/>
              <w:rPr>
                <w:rFonts w:ascii="Calibri" w:eastAsia="Calibri" w:hAnsi="Calibri" w:cs="Calibri"/>
                <w:b/>
                <w:bCs/>
                <w:sz w:val="18"/>
                <w:szCs w:val="18"/>
              </w:rPr>
            </w:pPr>
            <w:r>
              <w:rPr>
                <w:rFonts w:ascii="Calibri" w:eastAsia="Calibri" w:hAnsi="Calibri" w:cs="Calibri"/>
                <w:b/>
                <w:sz w:val="18"/>
                <w:szCs w:val="18"/>
                <w:u w:val="single"/>
              </w:rPr>
              <w:t>ΑΝΑΠΤΥΞΙΑΚΟΣ ΣΤΟΧΟ ΕΠΑ   ΕΝΙΣΧΥΣΗ ΕΞΩΣΤΡΕΦΕΙΑΣ</w:t>
            </w:r>
          </w:p>
          <w:p w14:paraId="0C0FD12D" w14:textId="77777777" w:rsidR="002A2422" w:rsidRDefault="002A2422">
            <w:pPr>
              <w:jc w:val="center"/>
              <w:rPr>
                <w:rFonts w:ascii="Calibri" w:eastAsia="Times New Roman" w:hAnsi="Calibri" w:cs="Calibri"/>
                <w:b/>
                <w:bCs/>
                <w:sz w:val="18"/>
                <w:szCs w:val="18"/>
              </w:rPr>
            </w:pPr>
          </w:p>
        </w:tc>
      </w:tr>
      <w:tr w:rsidR="002A2422" w14:paraId="2339F2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4" w:type="pct"/>
            <w:shd w:val="clear" w:color="auto" w:fill="auto"/>
          </w:tcPr>
          <w:p w14:paraId="67C9212F"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ΠΡΟΤΕΡΑΙΟΤΗΤΑ ΤΠΑ /ΥΠΠΟΑ</w:t>
            </w:r>
          </w:p>
        </w:tc>
        <w:tc>
          <w:tcPr>
            <w:tcW w:w="1768" w:type="pct"/>
            <w:gridSpan w:val="3"/>
            <w:shd w:val="clear" w:color="auto" w:fill="auto"/>
          </w:tcPr>
          <w:p w14:paraId="2A0B08BA"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ΑΝΤΙΣΤΟΙΧΗΣΗ ΜΕ ΠΡΟΤΕΡΑΙΟΤΗΤΑ ΕΠΑ</w:t>
            </w:r>
          </w:p>
        </w:tc>
        <w:tc>
          <w:tcPr>
            <w:tcW w:w="2128" w:type="pct"/>
            <w:gridSpan w:val="2"/>
            <w:shd w:val="clear" w:color="auto" w:fill="auto"/>
          </w:tcPr>
          <w:p w14:paraId="045A9CB1" w14:textId="77777777" w:rsidR="002A2422" w:rsidRDefault="003B3AD7">
            <w:pPr>
              <w:jc w:val="center"/>
              <w:rPr>
                <w:rFonts w:ascii="Calibri" w:eastAsia="Calibri" w:hAnsi="Calibri" w:cs="Calibri"/>
                <w:sz w:val="18"/>
                <w:szCs w:val="18"/>
              </w:rPr>
            </w:pPr>
            <w:r>
              <w:rPr>
                <w:rFonts w:ascii="Calibri" w:eastAsia="Times New Roman" w:hAnsi="Calibri" w:cs="Calibri"/>
                <w:b/>
                <w:bCs/>
                <w:sz w:val="18"/>
                <w:szCs w:val="18"/>
              </w:rPr>
              <w:t>ΠΡΟΤΕΙΝΟΜΕΝΟΙ ΔΕΙΚΤΕΣ</w:t>
            </w:r>
          </w:p>
        </w:tc>
      </w:tr>
      <w:tr w:rsidR="002A2422" w14:paraId="0834F2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4" w:type="pct"/>
            <w:shd w:val="clear" w:color="auto" w:fill="auto"/>
          </w:tcPr>
          <w:p w14:paraId="012ABE35" w14:textId="77777777" w:rsidR="002A2422" w:rsidRDefault="003B3AD7">
            <w:pPr>
              <w:jc w:val="center"/>
              <w:rPr>
                <w:rFonts w:ascii="Calibri" w:eastAsia="Times New Roman" w:hAnsi="Calibri" w:cs="Calibri"/>
                <w:b/>
                <w:bCs/>
                <w:sz w:val="18"/>
                <w:szCs w:val="18"/>
              </w:rPr>
            </w:pPr>
            <w:r>
              <w:rPr>
                <w:rFonts w:ascii="Calibri" w:eastAsia="Times New Roman" w:hAnsi="Calibri" w:cs="Calibri"/>
                <w:b/>
                <w:bCs/>
                <w:sz w:val="18"/>
                <w:szCs w:val="18"/>
              </w:rPr>
              <w:t>Προστασία, ανάπτυξη και προβολή της πολιτιστικής κληρονομιάς</w:t>
            </w:r>
          </w:p>
        </w:tc>
        <w:tc>
          <w:tcPr>
            <w:tcW w:w="1768" w:type="pct"/>
            <w:gridSpan w:val="3"/>
            <w:shd w:val="clear" w:color="auto" w:fill="auto"/>
          </w:tcPr>
          <w:p w14:paraId="5FCFADE0" w14:textId="77777777" w:rsidR="002A2422" w:rsidRDefault="003B3AD7">
            <w:pPr>
              <w:jc w:val="center"/>
              <w:rPr>
                <w:rFonts w:ascii="Calibri" w:hAnsi="Calibri" w:cs="Calibri"/>
                <w:b/>
                <w:bCs/>
                <w:sz w:val="18"/>
                <w:szCs w:val="18"/>
              </w:rPr>
            </w:pPr>
            <w:r>
              <w:rPr>
                <w:rFonts w:ascii="Calibri" w:hAnsi="Calibri" w:cs="Calibri"/>
                <w:b/>
                <w:bCs/>
                <w:sz w:val="18"/>
                <w:szCs w:val="18"/>
              </w:rPr>
              <w:t>5.4</w:t>
            </w:r>
          </w:p>
          <w:p w14:paraId="3D4E542D" w14:textId="77777777" w:rsidR="002A2422" w:rsidRDefault="002A2422">
            <w:pPr>
              <w:autoSpaceDE w:val="0"/>
              <w:autoSpaceDN w:val="0"/>
              <w:adjustRightInd w:val="0"/>
              <w:jc w:val="center"/>
              <w:rPr>
                <w:rFonts w:ascii="Calibri" w:eastAsia="Times New Roman" w:hAnsi="Calibri" w:cs="Calibri"/>
                <w:b/>
                <w:bCs/>
                <w:sz w:val="18"/>
                <w:szCs w:val="18"/>
              </w:rPr>
            </w:pPr>
          </w:p>
        </w:tc>
        <w:tc>
          <w:tcPr>
            <w:tcW w:w="2128" w:type="pct"/>
            <w:gridSpan w:val="2"/>
            <w:shd w:val="clear" w:color="auto" w:fill="auto"/>
          </w:tcPr>
          <w:p w14:paraId="01001393" w14:textId="77777777" w:rsidR="002A2422" w:rsidRDefault="003B3AD7">
            <w:pPr>
              <w:pStyle w:val="ad"/>
              <w:numPr>
                <w:ilvl w:val="0"/>
                <w:numId w:val="14"/>
              </w:numPr>
              <w:spacing w:line="240" w:lineRule="auto"/>
              <w:jc w:val="center"/>
              <w:rPr>
                <w:rFonts w:ascii="Calibri" w:eastAsia="Times New Roman" w:hAnsi="Calibri" w:cs="Calibri"/>
                <w:sz w:val="18"/>
                <w:szCs w:val="18"/>
              </w:rPr>
            </w:pPr>
            <w:r>
              <w:rPr>
                <w:rFonts w:ascii="Calibri" w:eastAsia="Times New Roman" w:hAnsi="Calibri" w:cs="Calibri"/>
                <w:sz w:val="18"/>
                <w:szCs w:val="18"/>
              </w:rPr>
              <w:t>% του συνόλου των μουσείων με δυνατότητες ψηφιακής ξενάγησης</w:t>
            </w:r>
          </w:p>
          <w:p w14:paraId="7AFB9DFB" w14:textId="77777777" w:rsidR="002A2422" w:rsidRDefault="003B3AD7">
            <w:pPr>
              <w:pStyle w:val="ad"/>
              <w:numPr>
                <w:ilvl w:val="0"/>
                <w:numId w:val="14"/>
              </w:numPr>
              <w:spacing w:line="240" w:lineRule="auto"/>
              <w:jc w:val="center"/>
              <w:rPr>
                <w:rFonts w:ascii="Calibri" w:eastAsia="Times New Roman" w:hAnsi="Calibri" w:cs="Calibri"/>
                <w:sz w:val="18"/>
                <w:szCs w:val="18"/>
              </w:rPr>
            </w:pPr>
            <w:r>
              <w:rPr>
                <w:rFonts w:ascii="Calibri" w:eastAsia="Times New Roman" w:hAnsi="Calibri" w:cs="Calibri"/>
                <w:sz w:val="18"/>
                <w:szCs w:val="18"/>
              </w:rPr>
              <w:t>Κτίρια που αποκαθίστανται / αναδεικνύονται</w:t>
            </w:r>
          </w:p>
          <w:p w14:paraId="21E88D23" w14:textId="77777777" w:rsidR="002A2422" w:rsidRDefault="003B3AD7">
            <w:pPr>
              <w:pStyle w:val="ad"/>
              <w:numPr>
                <w:ilvl w:val="0"/>
                <w:numId w:val="14"/>
              </w:numPr>
              <w:spacing w:line="240" w:lineRule="auto"/>
              <w:jc w:val="center"/>
              <w:rPr>
                <w:rFonts w:ascii="Calibri" w:eastAsia="Times New Roman" w:hAnsi="Calibri" w:cs="Calibri"/>
                <w:sz w:val="18"/>
                <w:szCs w:val="18"/>
              </w:rPr>
            </w:pPr>
            <w:r>
              <w:rPr>
                <w:rFonts w:ascii="Calibri" w:eastAsia="Times New Roman" w:hAnsi="Calibri" w:cs="Calibri"/>
                <w:sz w:val="18"/>
                <w:szCs w:val="18"/>
              </w:rPr>
              <w:t>Ενέργειες προβολής φυσικής και πολιτιστικής κληρονομιάς</w:t>
            </w:r>
          </w:p>
          <w:p w14:paraId="717B4CC1" w14:textId="77777777" w:rsidR="002A2422" w:rsidRDefault="002A2422">
            <w:pPr>
              <w:pStyle w:val="ad"/>
              <w:spacing w:line="240" w:lineRule="auto"/>
              <w:rPr>
                <w:rFonts w:ascii="Calibri" w:eastAsia="Times New Roman" w:hAnsi="Calibri" w:cs="Calibri"/>
                <w:b/>
                <w:bCs/>
                <w:sz w:val="18"/>
                <w:szCs w:val="18"/>
              </w:rPr>
            </w:pPr>
          </w:p>
          <w:p w14:paraId="223C8E89" w14:textId="77777777" w:rsidR="002A2422" w:rsidRDefault="002A2422">
            <w:pPr>
              <w:pStyle w:val="ad"/>
              <w:spacing w:line="240" w:lineRule="auto"/>
              <w:jc w:val="center"/>
              <w:rPr>
                <w:rFonts w:ascii="Calibri" w:eastAsia="Times New Roman" w:hAnsi="Calibri" w:cs="Calibri"/>
                <w:b/>
                <w:bCs/>
                <w:sz w:val="18"/>
                <w:szCs w:val="18"/>
              </w:rPr>
            </w:pPr>
          </w:p>
        </w:tc>
      </w:tr>
      <w:tr w:rsidR="002A2422" w14:paraId="08F31F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4" w:type="pct"/>
            <w:shd w:val="clear" w:color="auto" w:fill="auto"/>
          </w:tcPr>
          <w:p w14:paraId="72487623" w14:textId="77777777" w:rsidR="002A2422" w:rsidRDefault="003B3AD7">
            <w:pPr>
              <w:autoSpaceDE w:val="0"/>
              <w:autoSpaceDN w:val="0"/>
              <w:adjustRightInd w:val="0"/>
              <w:jc w:val="center"/>
              <w:rPr>
                <w:rFonts w:ascii="Calibri" w:eastAsia="Times New Roman" w:hAnsi="Calibri" w:cs="Calibri"/>
                <w:sz w:val="18"/>
                <w:szCs w:val="18"/>
              </w:rPr>
            </w:pPr>
            <w:proofErr w:type="spellStart"/>
            <w:r>
              <w:rPr>
                <w:rFonts w:ascii="Calibri" w:eastAsia="Times New Roman" w:hAnsi="Calibri" w:cs="Calibri"/>
                <w:b/>
                <w:bCs/>
                <w:sz w:val="18"/>
                <w:szCs w:val="18"/>
                <w:lang w:val="en-US"/>
              </w:rPr>
              <w:t>Μουσεί</w:t>
            </w:r>
            <w:proofErr w:type="spellEnd"/>
            <w:r>
              <w:rPr>
                <w:rFonts w:ascii="Calibri" w:eastAsia="Times New Roman" w:hAnsi="Calibri" w:cs="Calibri"/>
                <w:b/>
                <w:bCs/>
                <w:sz w:val="18"/>
                <w:szCs w:val="18"/>
                <w:lang w:val="en-US"/>
              </w:rPr>
              <w:t xml:space="preserve">α και </w:t>
            </w:r>
            <w:proofErr w:type="spellStart"/>
            <w:r>
              <w:rPr>
                <w:rFonts w:ascii="Calibri" w:eastAsia="Times New Roman" w:hAnsi="Calibri" w:cs="Calibri"/>
                <w:b/>
                <w:bCs/>
                <w:sz w:val="18"/>
                <w:szCs w:val="18"/>
                <w:lang w:val="en-US"/>
              </w:rPr>
              <w:t>Πολιτιστικά</w:t>
            </w:r>
            <w:proofErr w:type="spellEnd"/>
            <w:r>
              <w:rPr>
                <w:rFonts w:ascii="Calibri" w:eastAsia="Times New Roman" w:hAnsi="Calibri" w:cs="Calibri"/>
                <w:b/>
                <w:bCs/>
                <w:sz w:val="18"/>
                <w:szCs w:val="18"/>
                <w:lang w:val="en-US"/>
              </w:rPr>
              <w:t xml:space="preserve"> </w:t>
            </w:r>
            <w:proofErr w:type="spellStart"/>
            <w:r>
              <w:rPr>
                <w:rFonts w:ascii="Calibri" w:eastAsia="Times New Roman" w:hAnsi="Calibri" w:cs="Calibri"/>
                <w:b/>
                <w:bCs/>
                <w:sz w:val="18"/>
                <w:szCs w:val="18"/>
                <w:lang w:val="en-US"/>
              </w:rPr>
              <w:t>Κέντρ</w:t>
            </w:r>
            <w:proofErr w:type="spellEnd"/>
            <w:r>
              <w:rPr>
                <w:rFonts w:ascii="Calibri" w:eastAsia="Times New Roman" w:hAnsi="Calibri" w:cs="Calibri"/>
                <w:b/>
                <w:bCs/>
                <w:sz w:val="18"/>
                <w:szCs w:val="18"/>
                <w:lang w:val="en-US"/>
              </w:rPr>
              <w:t>α</w:t>
            </w:r>
          </w:p>
        </w:tc>
        <w:tc>
          <w:tcPr>
            <w:tcW w:w="1768" w:type="pct"/>
            <w:gridSpan w:val="3"/>
            <w:shd w:val="clear" w:color="auto" w:fill="auto"/>
          </w:tcPr>
          <w:p w14:paraId="60E901CB" w14:textId="77777777" w:rsidR="002A2422" w:rsidRDefault="003B3AD7">
            <w:pPr>
              <w:jc w:val="center"/>
              <w:rPr>
                <w:rFonts w:ascii="Calibri" w:eastAsia="Times New Roman" w:hAnsi="Calibri" w:cs="Calibri"/>
                <w:b/>
                <w:bCs/>
                <w:sz w:val="18"/>
                <w:szCs w:val="18"/>
              </w:rPr>
            </w:pPr>
            <w:r>
              <w:rPr>
                <w:rFonts w:ascii="Calibri" w:eastAsia="Times New Roman" w:hAnsi="Calibri" w:cs="Calibri"/>
                <w:b/>
                <w:bCs/>
                <w:sz w:val="18"/>
                <w:szCs w:val="18"/>
              </w:rPr>
              <w:t>5.5</w:t>
            </w:r>
          </w:p>
        </w:tc>
        <w:tc>
          <w:tcPr>
            <w:tcW w:w="2128" w:type="pct"/>
            <w:gridSpan w:val="2"/>
            <w:shd w:val="clear" w:color="auto" w:fill="auto"/>
          </w:tcPr>
          <w:p w14:paraId="65F6A3EF" w14:textId="77777777" w:rsidR="002A2422" w:rsidRDefault="003B3AD7">
            <w:pPr>
              <w:pStyle w:val="ad"/>
              <w:spacing w:line="240" w:lineRule="auto"/>
              <w:jc w:val="center"/>
              <w:rPr>
                <w:rFonts w:ascii="Calibri" w:eastAsia="Times New Roman" w:hAnsi="Calibri" w:cs="Calibri"/>
                <w:sz w:val="18"/>
                <w:szCs w:val="18"/>
              </w:rPr>
            </w:pPr>
            <w:r>
              <w:rPr>
                <w:rFonts w:ascii="Calibri" w:eastAsia="Times New Roman" w:hAnsi="Calibri" w:cs="Calibri"/>
                <w:b/>
                <w:bCs/>
                <w:sz w:val="18"/>
                <w:szCs w:val="18"/>
              </w:rPr>
              <w:t>•</w:t>
            </w:r>
            <w:r>
              <w:rPr>
                <w:rFonts w:ascii="Calibri" w:eastAsia="Times New Roman" w:hAnsi="Calibri" w:cs="Calibri"/>
                <w:b/>
                <w:bCs/>
                <w:sz w:val="18"/>
                <w:szCs w:val="18"/>
              </w:rPr>
              <w:tab/>
            </w:r>
            <w:r>
              <w:rPr>
                <w:rFonts w:ascii="Calibri" w:eastAsia="Times New Roman" w:hAnsi="Calibri" w:cs="Calibri"/>
                <w:sz w:val="18"/>
                <w:szCs w:val="18"/>
              </w:rPr>
              <w:t>% του συνόλου των  μουσείων &amp; αρχαιολογικών</w:t>
            </w:r>
          </w:p>
          <w:p w14:paraId="41FBE3D6" w14:textId="77777777" w:rsidR="002A2422" w:rsidRDefault="003B3AD7">
            <w:pPr>
              <w:pStyle w:val="ad"/>
              <w:spacing w:line="240" w:lineRule="auto"/>
              <w:jc w:val="center"/>
              <w:rPr>
                <w:rFonts w:ascii="Calibri" w:eastAsia="Times New Roman" w:hAnsi="Calibri" w:cs="Calibri"/>
                <w:sz w:val="18"/>
                <w:szCs w:val="18"/>
              </w:rPr>
            </w:pPr>
            <w:r>
              <w:rPr>
                <w:rFonts w:ascii="Calibri" w:eastAsia="Times New Roman" w:hAnsi="Calibri" w:cs="Calibri"/>
                <w:sz w:val="18"/>
                <w:szCs w:val="18"/>
              </w:rPr>
              <w:t xml:space="preserve"> χώρων με εφαρμογή του ηλεκτρονικού</w:t>
            </w:r>
            <w:r>
              <w:rPr>
                <w:rFonts w:ascii="Calibri" w:eastAsia="Times New Roman" w:hAnsi="Calibri" w:cs="Calibri"/>
                <w:b/>
                <w:bCs/>
                <w:sz w:val="18"/>
                <w:szCs w:val="18"/>
              </w:rPr>
              <w:t xml:space="preserve"> </w:t>
            </w:r>
            <w:r>
              <w:rPr>
                <w:rFonts w:ascii="Calibri" w:eastAsia="Times New Roman" w:hAnsi="Calibri" w:cs="Calibri"/>
                <w:sz w:val="18"/>
                <w:szCs w:val="18"/>
              </w:rPr>
              <w:t>εισιτηρίου</w:t>
            </w:r>
          </w:p>
          <w:p w14:paraId="776064AD" w14:textId="77777777" w:rsidR="002A2422" w:rsidRDefault="003B3AD7">
            <w:pPr>
              <w:pStyle w:val="ad"/>
              <w:spacing w:line="240" w:lineRule="auto"/>
              <w:jc w:val="center"/>
              <w:rPr>
                <w:rFonts w:ascii="Calibri" w:eastAsia="Times New Roman" w:hAnsi="Calibri" w:cs="Calibri"/>
                <w:sz w:val="18"/>
                <w:szCs w:val="18"/>
              </w:rPr>
            </w:pPr>
            <w:r>
              <w:rPr>
                <w:rFonts w:ascii="Calibri" w:eastAsia="Times New Roman" w:hAnsi="Calibri" w:cs="Calibri"/>
                <w:sz w:val="18"/>
                <w:szCs w:val="18"/>
              </w:rPr>
              <w:lastRenderedPageBreak/>
              <w:t>•</w:t>
            </w:r>
            <w:r>
              <w:rPr>
                <w:rFonts w:ascii="Calibri" w:eastAsia="Times New Roman" w:hAnsi="Calibri" w:cs="Calibri"/>
                <w:sz w:val="18"/>
                <w:szCs w:val="18"/>
              </w:rPr>
              <w:tab/>
              <w:t>% του συνόλου των μουσείων με  Δυνατότητες ψηφιακής ξενάγησης</w:t>
            </w:r>
          </w:p>
          <w:p w14:paraId="48033C2E" w14:textId="77777777" w:rsidR="002A2422" w:rsidRDefault="003B3AD7">
            <w:pPr>
              <w:pStyle w:val="ad"/>
              <w:spacing w:line="240" w:lineRule="auto"/>
              <w:jc w:val="center"/>
              <w:rPr>
                <w:rFonts w:ascii="Calibri" w:eastAsia="Times New Roman" w:hAnsi="Calibri" w:cs="Calibri"/>
                <w:sz w:val="18"/>
                <w:szCs w:val="18"/>
              </w:rPr>
            </w:pPr>
            <w:r>
              <w:rPr>
                <w:rFonts w:ascii="Calibri" w:eastAsia="Times New Roman" w:hAnsi="Calibri" w:cs="Calibri"/>
                <w:sz w:val="18"/>
                <w:szCs w:val="18"/>
              </w:rPr>
              <w:t>•Κτίρια που αποκαθίστανται / αναδεικνύονται</w:t>
            </w:r>
          </w:p>
          <w:p w14:paraId="3F2889F3" w14:textId="77777777" w:rsidR="002A2422" w:rsidRDefault="003B3AD7">
            <w:pPr>
              <w:pStyle w:val="ad"/>
              <w:spacing w:line="240" w:lineRule="auto"/>
              <w:jc w:val="center"/>
              <w:rPr>
                <w:rFonts w:ascii="Calibri" w:eastAsia="Times New Roman" w:hAnsi="Calibri" w:cs="Calibri"/>
                <w:sz w:val="18"/>
                <w:szCs w:val="18"/>
              </w:rPr>
            </w:pPr>
            <w:r>
              <w:rPr>
                <w:rFonts w:ascii="Calibri" w:eastAsia="Times New Roman" w:hAnsi="Calibri" w:cs="Calibri"/>
                <w:sz w:val="18"/>
                <w:szCs w:val="18"/>
              </w:rPr>
              <w:t xml:space="preserve">Συνολικός αριθμός συμμετεχόντων σε εκδηλώσεις πολιτιστικού περιεχομένου (Φεστιβάλ, Εκθέσεις σύγχρονου πολιτισμού </w:t>
            </w:r>
            <w:proofErr w:type="spellStart"/>
            <w:r>
              <w:rPr>
                <w:rFonts w:ascii="Calibri" w:eastAsia="Times New Roman" w:hAnsi="Calibri" w:cs="Calibri"/>
                <w:sz w:val="18"/>
                <w:szCs w:val="18"/>
              </w:rPr>
              <w:t>κ.λ.π</w:t>
            </w:r>
            <w:proofErr w:type="spellEnd"/>
            <w:r>
              <w:rPr>
                <w:rFonts w:ascii="Calibri" w:eastAsia="Times New Roman" w:hAnsi="Calibri" w:cs="Calibri"/>
                <w:sz w:val="18"/>
                <w:szCs w:val="18"/>
              </w:rPr>
              <w:t>.)</w:t>
            </w:r>
          </w:p>
          <w:p w14:paraId="114115EF" w14:textId="77777777" w:rsidR="002A2422" w:rsidRDefault="003B3AD7">
            <w:pPr>
              <w:pStyle w:val="ad"/>
              <w:spacing w:line="240" w:lineRule="auto"/>
              <w:jc w:val="center"/>
              <w:rPr>
                <w:rFonts w:ascii="Calibri" w:eastAsia="Times New Roman" w:hAnsi="Calibri" w:cs="Calibri"/>
                <w:b/>
                <w:bCs/>
                <w:sz w:val="18"/>
                <w:szCs w:val="18"/>
              </w:rPr>
            </w:pPr>
            <w:r>
              <w:rPr>
                <w:rFonts w:ascii="Calibri" w:eastAsia="Times New Roman" w:hAnsi="Calibri" w:cs="Calibri"/>
                <w:sz w:val="18"/>
                <w:szCs w:val="18"/>
              </w:rPr>
              <w:t>Αριθμός πολιτιστικών και καλλιτεχνικών θεσμών που ενισχύονται</w:t>
            </w:r>
          </w:p>
        </w:tc>
      </w:tr>
      <w:tr w:rsidR="002A2422" w14:paraId="45F8FE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4" w:type="pct"/>
            <w:shd w:val="clear" w:color="auto" w:fill="auto"/>
          </w:tcPr>
          <w:p w14:paraId="720A96BB" w14:textId="77777777" w:rsidR="002A2422" w:rsidRDefault="003B3AD7">
            <w:pPr>
              <w:jc w:val="center"/>
              <w:rPr>
                <w:rFonts w:ascii="Calibri" w:eastAsia="Times New Roman" w:hAnsi="Calibri" w:cs="Calibri"/>
                <w:b/>
                <w:bCs/>
                <w:sz w:val="18"/>
                <w:szCs w:val="18"/>
              </w:rPr>
            </w:pPr>
            <w:r>
              <w:rPr>
                <w:rFonts w:ascii="Calibri" w:eastAsia="Times New Roman" w:hAnsi="Calibri" w:cs="Calibri"/>
                <w:b/>
                <w:bCs/>
                <w:sz w:val="18"/>
                <w:szCs w:val="18"/>
              </w:rPr>
              <w:lastRenderedPageBreak/>
              <w:t>Υποδομές και δράσεις σύγχρονου πολιτισμού</w:t>
            </w:r>
          </w:p>
        </w:tc>
        <w:tc>
          <w:tcPr>
            <w:tcW w:w="1768" w:type="pct"/>
            <w:gridSpan w:val="3"/>
            <w:shd w:val="clear" w:color="auto" w:fill="auto"/>
          </w:tcPr>
          <w:p w14:paraId="1B456BDD" w14:textId="77777777" w:rsidR="002A2422" w:rsidRDefault="003B3AD7">
            <w:pPr>
              <w:jc w:val="center"/>
              <w:rPr>
                <w:rFonts w:ascii="Calibri" w:eastAsia="Times New Roman" w:hAnsi="Calibri" w:cs="Calibri"/>
                <w:b/>
                <w:bCs/>
                <w:sz w:val="18"/>
                <w:szCs w:val="18"/>
              </w:rPr>
            </w:pPr>
            <w:r>
              <w:rPr>
                <w:rFonts w:ascii="Calibri" w:hAnsi="Calibri" w:cs="Calibri"/>
                <w:b/>
                <w:bCs/>
                <w:sz w:val="18"/>
                <w:szCs w:val="18"/>
              </w:rPr>
              <w:t>5.6</w:t>
            </w:r>
          </w:p>
        </w:tc>
        <w:tc>
          <w:tcPr>
            <w:tcW w:w="2128" w:type="pct"/>
            <w:gridSpan w:val="2"/>
            <w:shd w:val="clear" w:color="auto" w:fill="auto"/>
          </w:tcPr>
          <w:p w14:paraId="5147AE5D" w14:textId="77777777" w:rsidR="002A2422" w:rsidRDefault="003B3AD7">
            <w:pPr>
              <w:pStyle w:val="ad"/>
              <w:numPr>
                <w:ilvl w:val="0"/>
                <w:numId w:val="19"/>
              </w:numPr>
              <w:spacing w:line="240" w:lineRule="auto"/>
              <w:jc w:val="center"/>
              <w:rPr>
                <w:rFonts w:ascii="Calibri" w:eastAsia="Times New Roman" w:hAnsi="Calibri" w:cs="Calibri"/>
                <w:sz w:val="18"/>
                <w:szCs w:val="18"/>
              </w:rPr>
            </w:pPr>
            <w:r>
              <w:rPr>
                <w:rFonts w:ascii="Calibri" w:eastAsia="Times New Roman" w:hAnsi="Calibri" w:cs="Calibri"/>
                <w:sz w:val="18"/>
                <w:szCs w:val="18"/>
              </w:rPr>
              <w:t xml:space="preserve">Αριθμός δράσεων σύγχρονου πολιτισμού  που ενισχύονται </w:t>
            </w:r>
          </w:p>
        </w:tc>
      </w:tr>
      <w:tr w:rsidR="002A2422" w14:paraId="0E73BD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4" w:type="pct"/>
            <w:shd w:val="clear" w:color="auto" w:fill="auto"/>
          </w:tcPr>
          <w:p w14:paraId="7C4E107A" w14:textId="77777777" w:rsidR="002A2422" w:rsidRDefault="003B3AD7">
            <w:pPr>
              <w:jc w:val="center"/>
              <w:rPr>
                <w:rFonts w:ascii="Calibri" w:eastAsia="Times New Roman" w:hAnsi="Calibri" w:cs="Calibri"/>
                <w:sz w:val="18"/>
                <w:szCs w:val="18"/>
              </w:rPr>
            </w:pPr>
            <w:r>
              <w:rPr>
                <w:rFonts w:ascii="Calibri" w:eastAsia="Times New Roman" w:hAnsi="Calibri" w:cs="Calibri"/>
                <w:b/>
                <w:bCs/>
                <w:sz w:val="18"/>
                <w:szCs w:val="18"/>
              </w:rPr>
              <w:t>Πολιτιστικές και δημιουργικές βιομηχανίες</w:t>
            </w:r>
          </w:p>
        </w:tc>
        <w:tc>
          <w:tcPr>
            <w:tcW w:w="1768" w:type="pct"/>
            <w:gridSpan w:val="3"/>
            <w:shd w:val="clear" w:color="auto" w:fill="auto"/>
          </w:tcPr>
          <w:p w14:paraId="59DB00EB" w14:textId="77777777" w:rsidR="002A2422" w:rsidRDefault="003B3AD7">
            <w:pPr>
              <w:jc w:val="center"/>
              <w:rPr>
                <w:rFonts w:ascii="Calibri" w:eastAsia="Times New Roman" w:hAnsi="Calibri" w:cs="Calibri"/>
                <w:b/>
                <w:bCs/>
                <w:sz w:val="18"/>
                <w:szCs w:val="18"/>
              </w:rPr>
            </w:pPr>
            <w:r>
              <w:rPr>
                <w:rFonts w:ascii="Calibri" w:eastAsia="Times New Roman" w:hAnsi="Calibri" w:cs="Calibri"/>
                <w:b/>
                <w:bCs/>
                <w:sz w:val="18"/>
                <w:szCs w:val="18"/>
              </w:rPr>
              <w:t>5.7</w:t>
            </w:r>
          </w:p>
        </w:tc>
        <w:tc>
          <w:tcPr>
            <w:tcW w:w="2128" w:type="pct"/>
            <w:gridSpan w:val="2"/>
            <w:shd w:val="clear" w:color="auto" w:fill="auto"/>
          </w:tcPr>
          <w:p w14:paraId="41BF2717" w14:textId="77777777" w:rsidR="002A2422" w:rsidRDefault="003B3AD7">
            <w:pPr>
              <w:pStyle w:val="ad"/>
              <w:numPr>
                <w:ilvl w:val="0"/>
                <w:numId w:val="19"/>
              </w:numPr>
              <w:spacing w:line="240" w:lineRule="auto"/>
              <w:jc w:val="center"/>
              <w:rPr>
                <w:rFonts w:ascii="Calibri" w:eastAsia="Times New Roman" w:hAnsi="Calibri" w:cs="Calibri"/>
                <w:sz w:val="18"/>
                <w:szCs w:val="18"/>
              </w:rPr>
            </w:pPr>
            <w:r>
              <w:rPr>
                <w:rFonts w:ascii="Calibri" w:eastAsia="Times New Roman" w:hAnsi="Calibri" w:cs="Calibri"/>
                <w:sz w:val="18"/>
                <w:szCs w:val="18"/>
              </w:rPr>
              <w:t>Προστιθέμενη αξία που παράγεται από τον τομέα της Βιομηχανίας ως % του ΑΕΠ</w:t>
            </w:r>
          </w:p>
          <w:p w14:paraId="5D4B7086" w14:textId="77777777" w:rsidR="002A2422" w:rsidRDefault="003B3AD7">
            <w:pPr>
              <w:pStyle w:val="ad"/>
              <w:numPr>
                <w:ilvl w:val="0"/>
                <w:numId w:val="19"/>
              </w:numPr>
              <w:rPr>
                <w:rFonts w:ascii="Calibri" w:eastAsia="Times New Roman" w:hAnsi="Calibri" w:cs="Calibri"/>
                <w:sz w:val="18"/>
                <w:szCs w:val="18"/>
              </w:rPr>
            </w:pPr>
            <w:r>
              <w:rPr>
                <w:rFonts w:ascii="Calibri" w:eastAsia="Times New Roman" w:hAnsi="Calibri" w:cs="Calibri"/>
                <w:sz w:val="18"/>
                <w:szCs w:val="18"/>
              </w:rPr>
              <w:t>Αριθμός ΠΔΒ που ενισχύονται</w:t>
            </w:r>
          </w:p>
          <w:p w14:paraId="3228B659" w14:textId="77777777" w:rsidR="002A2422" w:rsidRDefault="002A2422">
            <w:pPr>
              <w:spacing w:line="240" w:lineRule="auto"/>
              <w:ind w:left="360"/>
              <w:rPr>
                <w:rFonts w:ascii="Calibri" w:eastAsia="Times New Roman" w:hAnsi="Calibri" w:cs="Calibri"/>
                <w:b/>
                <w:bCs/>
                <w:sz w:val="18"/>
                <w:szCs w:val="18"/>
              </w:rPr>
            </w:pPr>
          </w:p>
          <w:p w14:paraId="5EE83CDC" w14:textId="77777777" w:rsidR="002A2422" w:rsidRDefault="002A2422">
            <w:pPr>
              <w:pStyle w:val="ad"/>
              <w:spacing w:line="240" w:lineRule="auto"/>
              <w:jc w:val="center"/>
              <w:rPr>
                <w:rFonts w:ascii="Calibri" w:eastAsia="Times New Roman" w:hAnsi="Calibri" w:cs="Calibri"/>
                <w:b/>
                <w:bCs/>
                <w:sz w:val="18"/>
                <w:szCs w:val="18"/>
              </w:rPr>
            </w:pPr>
          </w:p>
        </w:tc>
      </w:tr>
      <w:tr w:rsidR="002A2422" w14:paraId="4D2906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4" w:type="pct"/>
            <w:shd w:val="clear" w:color="auto" w:fill="auto"/>
          </w:tcPr>
          <w:p w14:paraId="093ADCAE" w14:textId="77777777" w:rsidR="002A2422" w:rsidRDefault="003B3AD7">
            <w:pPr>
              <w:jc w:val="center"/>
              <w:rPr>
                <w:rFonts w:asciiTheme="minorHAnsi" w:eastAsia="Times New Roman" w:hAnsiTheme="minorHAnsi" w:cstheme="minorHAnsi"/>
                <w:b/>
                <w:bCs/>
                <w:sz w:val="18"/>
                <w:szCs w:val="18"/>
              </w:rPr>
            </w:pPr>
            <w:r>
              <w:rPr>
                <w:rFonts w:asciiTheme="minorHAnsi" w:hAnsiTheme="minorHAnsi" w:cstheme="minorHAnsi"/>
                <w:b/>
                <w:bCs/>
                <w:sz w:val="18"/>
                <w:szCs w:val="18"/>
              </w:rPr>
              <w:t>Δημιουργία και προώθηση εθνικού εμπορικού σήματος</w:t>
            </w:r>
          </w:p>
        </w:tc>
        <w:tc>
          <w:tcPr>
            <w:tcW w:w="1768" w:type="pct"/>
            <w:gridSpan w:val="3"/>
            <w:shd w:val="clear" w:color="auto" w:fill="auto"/>
          </w:tcPr>
          <w:p w14:paraId="3230C39F" w14:textId="77777777" w:rsidR="002A2422" w:rsidRDefault="003B3AD7">
            <w:pPr>
              <w:jc w:val="center"/>
              <w:rPr>
                <w:rFonts w:asciiTheme="minorHAnsi" w:eastAsia="Times New Roman" w:hAnsiTheme="minorHAnsi" w:cstheme="minorHAnsi"/>
                <w:b/>
                <w:bCs/>
                <w:sz w:val="18"/>
                <w:szCs w:val="18"/>
              </w:rPr>
            </w:pPr>
            <w:r>
              <w:rPr>
                <w:rFonts w:asciiTheme="minorHAnsi" w:hAnsiTheme="minorHAnsi" w:cstheme="minorHAnsi"/>
                <w:b/>
                <w:bCs/>
                <w:sz w:val="18"/>
                <w:szCs w:val="18"/>
              </w:rPr>
              <w:t>5.12</w:t>
            </w:r>
          </w:p>
        </w:tc>
        <w:tc>
          <w:tcPr>
            <w:tcW w:w="2128" w:type="pct"/>
            <w:gridSpan w:val="2"/>
            <w:shd w:val="clear" w:color="auto" w:fill="auto"/>
          </w:tcPr>
          <w:p w14:paraId="13CD7E62" w14:textId="77777777" w:rsidR="002A2422" w:rsidRDefault="003B3AD7">
            <w:pPr>
              <w:pStyle w:val="ad"/>
              <w:numPr>
                <w:ilvl w:val="0"/>
                <w:numId w:val="20"/>
              </w:numPr>
              <w:spacing w:line="240" w:lineRule="auto"/>
              <w:rPr>
                <w:rFonts w:ascii="Calibri" w:eastAsia="Times New Roman" w:hAnsi="Calibri" w:cs="Calibri"/>
                <w:sz w:val="18"/>
                <w:szCs w:val="18"/>
              </w:rPr>
            </w:pPr>
            <w:r>
              <w:rPr>
                <w:rFonts w:ascii="Calibri" w:eastAsia="Times New Roman" w:hAnsi="Calibri" w:cs="Calibri"/>
                <w:sz w:val="18"/>
                <w:szCs w:val="18"/>
              </w:rPr>
              <w:t>Αναβάθμιση, προστασία και ανάδειξη χώρων φυσικής κληρονομιάς</w:t>
            </w:r>
          </w:p>
          <w:p w14:paraId="4D76445A" w14:textId="77777777" w:rsidR="002A2422" w:rsidRDefault="003B3AD7">
            <w:pPr>
              <w:pStyle w:val="ad"/>
              <w:numPr>
                <w:ilvl w:val="0"/>
                <w:numId w:val="20"/>
              </w:numPr>
              <w:spacing w:line="240" w:lineRule="auto"/>
              <w:rPr>
                <w:rFonts w:ascii="Calibri" w:eastAsia="Times New Roman" w:hAnsi="Calibri" w:cs="Calibri"/>
                <w:b/>
                <w:bCs/>
                <w:sz w:val="18"/>
                <w:szCs w:val="18"/>
              </w:rPr>
            </w:pPr>
            <w:r>
              <w:rPr>
                <w:rFonts w:ascii="Calibri" w:eastAsia="Times New Roman" w:hAnsi="Calibri" w:cs="Calibri"/>
                <w:sz w:val="18"/>
                <w:szCs w:val="18"/>
              </w:rPr>
              <w:t>Ενέργειες προβολής των φυσικών και πολιτιστικών πόρων</w:t>
            </w:r>
          </w:p>
        </w:tc>
      </w:tr>
      <w:tr w:rsidR="002A2422" w14:paraId="2591B2CD" w14:textId="77777777">
        <w:trPr>
          <w:tblHeader/>
        </w:trPr>
        <w:tc>
          <w:tcPr>
            <w:tcW w:w="5000" w:type="pct"/>
            <w:gridSpan w:val="6"/>
            <w:tcBorders>
              <w:bottom w:val="double" w:sz="4" w:space="0" w:color="808080"/>
            </w:tcBorders>
            <w:shd w:val="clear" w:color="auto" w:fill="808080"/>
            <w:vAlign w:val="center"/>
          </w:tcPr>
          <w:p w14:paraId="39F921C7"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u w:val="single"/>
              </w:rPr>
              <w:t xml:space="preserve">ΑΝΑΠΤΥΞΙΑΚΟΣ ΣΤΟΧΟΣ   ΕΠΑ </w:t>
            </w:r>
            <w:r>
              <w:rPr>
                <w:rFonts w:ascii="Calibri" w:eastAsia="Calibri" w:hAnsi="Calibri" w:cs="Calibri"/>
                <w:b/>
                <w:bCs/>
                <w:sz w:val="18"/>
                <w:szCs w:val="18"/>
                <w:u w:val="single"/>
              </w:rPr>
              <w:t xml:space="preserve"> ΥΠΟΣΤΗΡΙΞΗ ΠΡΟΓΡΑΜΜΑΤΩΝ</w:t>
            </w:r>
          </w:p>
        </w:tc>
      </w:tr>
      <w:tr w:rsidR="002A2422" w14:paraId="239898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4" w:type="pct"/>
            <w:shd w:val="clear" w:color="auto" w:fill="auto"/>
          </w:tcPr>
          <w:p w14:paraId="61851E57"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ΠΡΟΤΕΡΑΙΟΤΗΤΑ ΤΠΑ /ΥΠΠΟΑ</w:t>
            </w:r>
          </w:p>
        </w:tc>
        <w:tc>
          <w:tcPr>
            <w:tcW w:w="1768" w:type="pct"/>
            <w:gridSpan w:val="3"/>
            <w:shd w:val="clear" w:color="auto" w:fill="auto"/>
          </w:tcPr>
          <w:p w14:paraId="4AE9CE77"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ΑΝΤΙΣΤΟΙΧΗΣΗ ΜΕ ΠΡΟΤΕΡΑΙΟΤΗΤΑ ΕΠΑ</w:t>
            </w:r>
          </w:p>
        </w:tc>
        <w:tc>
          <w:tcPr>
            <w:tcW w:w="2128" w:type="pct"/>
            <w:gridSpan w:val="2"/>
            <w:shd w:val="clear" w:color="auto" w:fill="auto"/>
          </w:tcPr>
          <w:p w14:paraId="06A2836D" w14:textId="77777777" w:rsidR="002A2422" w:rsidRDefault="003B3AD7">
            <w:pPr>
              <w:jc w:val="center"/>
              <w:rPr>
                <w:rFonts w:ascii="Calibri" w:eastAsia="Calibri" w:hAnsi="Calibri" w:cs="Calibri"/>
                <w:sz w:val="18"/>
                <w:szCs w:val="18"/>
              </w:rPr>
            </w:pPr>
            <w:r>
              <w:rPr>
                <w:rFonts w:ascii="Calibri" w:eastAsia="Times New Roman" w:hAnsi="Calibri" w:cs="Calibri"/>
                <w:b/>
                <w:bCs/>
                <w:sz w:val="18"/>
                <w:szCs w:val="18"/>
              </w:rPr>
              <w:t>ΠΡΟΤΕΙΝΟΜΕΝΟΙ ΔΕΙΚΤΕΣ</w:t>
            </w:r>
          </w:p>
        </w:tc>
      </w:tr>
      <w:tr w:rsidR="002A2422" w14:paraId="03FCC9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4" w:type="pct"/>
            <w:shd w:val="clear" w:color="auto" w:fill="auto"/>
          </w:tcPr>
          <w:p w14:paraId="300E386A"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Calibri" w:hAnsi="Calibri" w:cs="Calibri"/>
                <w:b/>
                <w:bCs/>
                <w:sz w:val="18"/>
                <w:szCs w:val="18"/>
              </w:rPr>
              <w:t>Υποστήριξη Προγραμμάτων</w:t>
            </w:r>
          </w:p>
        </w:tc>
        <w:tc>
          <w:tcPr>
            <w:tcW w:w="1768" w:type="pct"/>
            <w:gridSpan w:val="3"/>
            <w:shd w:val="clear" w:color="auto" w:fill="auto"/>
          </w:tcPr>
          <w:p w14:paraId="2C97007E"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6.1</w:t>
            </w:r>
          </w:p>
        </w:tc>
        <w:tc>
          <w:tcPr>
            <w:tcW w:w="2128" w:type="pct"/>
            <w:gridSpan w:val="2"/>
            <w:shd w:val="clear" w:color="auto" w:fill="auto"/>
          </w:tcPr>
          <w:p w14:paraId="37FAAE47" w14:textId="77777777" w:rsidR="002A2422" w:rsidRDefault="003B3AD7">
            <w:pPr>
              <w:pStyle w:val="ad"/>
              <w:numPr>
                <w:ilvl w:val="0"/>
                <w:numId w:val="19"/>
              </w:numPr>
              <w:spacing w:line="240" w:lineRule="auto"/>
              <w:jc w:val="center"/>
              <w:rPr>
                <w:rFonts w:ascii="Calibri" w:eastAsia="Times New Roman" w:hAnsi="Calibri" w:cs="Calibri"/>
                <w:sz w:val="18"/>
                <w:szCs w:val="18"/>
              </w:rPr>
            </w:pPr>
            <w:r>
              <w:rPr>
                <w:rFonts w:ascii="Calibri" w:eastAsia="Times New Roman" w:hAnsi="Calibri" w:cs="Calibri"/>
                <w:sz w:val="18"/>
                <w:szCs w:val="18"/>
              </w:rPr>
              <w:t>Υποστηρικτικά εργαλεία για την οργάνωση/διαχείριση που δημιουργούνται ή αναβαθμίζονται</w:t>
            </w:r>
          </w:p>
          <w:p w14:paraId="26FC9EBB" w14:textId="77777777" w:rsidR="002A2422" w:rsidRDefault="003B3AD7">
            <w:pPr>
              <w:pStyle w:val="ad"/>
              <w:numPr>
                <w:ilvl w:val="0"/>
                <w:numId w:val="19"/>
              </w:numPr>
              <w:spacing w:line="240" w:lineRule="auto"/>
              <w:jc w:val="center"/>
              <w:rPr>
                <w:rFonts w:ascii="Calibri" w:eastAsia="Times New Roman" w:hAnsi="Calibri" w:cs="Calibri"/>
                <w:sz w:val="18"/>
                <w:szCs w:val="18"/>
              </w:rPr>
            </w:pPr>
            <w:r>
              <w:rPr>
                <w:rFonts w:ascii="Calibri" w:eastAsia="Times New Roman" w:hAnsi="Calibri" w:cs="Calibri"/>
                <w:sz w:val="18"/>
                <w:szCs w:val="18"/>
              </w:rPr>
              <w:t>Δικαιούχοι, φορείς που υποστηρίζονται</w:t>
            </w:r>
          </w:p>
          <w:p w14:paraId="4462239B" w14:textId="77777777" w:rsidR="002A2422" w:rsidRDefault="003B3AD7">
            <w:pPr>
              <w:widowControl w:val="0"/>
              <w:autoSpaceDE w:val="0"/>
              <w:autoSpaceDN w:val="0"/>
              <w:adjustRightInd w:val="0"/>
              <w:spacing w:before="40" w:after="40"/>
              <w:ind w:left="318"/>
              <w:jc w:val="center"/>
              <w:rPr>
                <w:rFonts w:ascii="Calibri" w:eastAsia="Times New Roman" w:hAnsi="Calibri" w:cs="Calibri"/>
                <w:sz w:val="18"/>
                <w:szCs w:val="18"/>
              </w:rPr>
            </w:pPr>
            <w:r>
              <w:rPr>
                <w:rFonts w:ascii="Calibri" w:eastAsia="Times New Roman" w:hAnsi="Calibri" w:cs="Calibri"/>
                <w:sz w:val="18"/>
                <w:szCs w:val="18"/>
              </w:rPr>
              <w:t>Αριθμός επιχορηγούμενων φορέων</w:t>
            </w:r>
          </w:p>
        </w:tc>
      </w:tr>
      <w:tr w:rsidR="002A2422" w14:paraId="2E9BFB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4" w:type="pct"/>
            <w:shd w:val="clear" w:color="auto" w:fill="auto"/>
          </w:tcPr>
          <w:p w14:paraId="13CDE532" w14:textId="77777777" w:rsidR="002A2422" w:rsidRDefault="003B3AD7">
            <w:pPr>
              <w:jc w:val="center"/>
              <w:rPr>
                <w:rFonts w:ascii="Calibri" w:eastAsia="Times New Roman" w:hAnsi="Calibri" w:cs="Calibri"/>
                <w:b/>
                <w:bCs/>
                <w:sz w:val="18"/>
                <w:szCs w:val="18"/>
              </w:rPr>
            </w:pPr>
            <w:r>
              <w:rPr>
                <w:rFonts w:ascii="Calibri" w:eastAsia="Calibri" w:hAnsi="Calibri" w:cs="Calibri"/>
                <w:b/>
                <w:bCs/>
                <w:sz w:val="18"/>
                <w:szCs w:val="18"/>
              </w:rPr>
              <w:t>Τεχνική Βοήθεια</w:t>
            </w:r>
          </w:p>
        </w:tc>
        <w:tc>
          <w:tcPr>
            <w:tcW w:w="1768" w:type="pct"/>
            <w:gridSpan w:val="3"/>
            <w:shd w:val="clear" w:color="auto" w:fill="auto"/>
          </w:tcPr>
          <w:p w14:paraId="5CDE6C01" w14:textId="77777777" w:rsidR="002A2422" w:rsidRDefault="003B3AD7">
            <w:pPr>
              <w:jc w:val="center"/>
              <w:rPr>
                <w:rFonts w:ascii="Calibri" w:hAnsi="Calibri" w:cs="Calibri"/>
                <w:b/>
                <w:bCs/>
                <w:sz w:val="18"/>
                <w:szCs w:val="18"/>
              </w:rPr>
            </w:pPr>
            <w:r>
              <w:rPr>
                <w:rFonts w:ascii="Calibri" w:hAnsi="Calibri" w:cs="Calibri"/>
                <w:b/>
                <w:bCs/>
                <w:sz w:val="18"/>
                <w:szCs w:val="18"/>
              </w:rPr>
              <w:t>6.2</w:t>
            </w:r>
          </w:p>
          <w:p w14:paraId="5BE24F15" w14:textId="77777777" w:rsidR="002A2422" w:rsidRDefault="002A2422">
            <w:pPr>
              <w:autoSpaceDE w:val="0"/>
              <w:autoSpaceDN w:val="0"/>
              <w:adjustRightInd w:val="0"/>
              <w:jc w:val="center"/>
              <w:rPr>
                <w:rFonts w:ascii="Calibri" w:eastAsia="Times New Roman" w:hAnsi="Calibri" w:cs="Calibri"/>
                <w:b/>
                <w:bCs/>
                <w:sz w:val="18"/>
                <w:szCs w:val="18"/>
              </w:rPr>
            </w:pPr>
          </w:p>
        </w:tc>
        <w:tc>
          <w:tcPr>
            <w:tcW w:w="2128" w:type="pct"/>
            <w:gridSpan w:val="2"/>
            <w:shd w:val="clear" w:color="auto" w:fill="auto"/>
          </w:tcPr>
          <w:p w14:paraId="1400C7FA" w14:textId="77777777" w:rsidR="002A2422" w:rsidRDefault="003B3AD7">
            <w:pPr>
              <w:pStyle w:val="ad"/>
              <w:numPr>
                <w:ilvl w:val="0"/>
                <w:numId w:val="19"/>
              </w:numPr>
              <w:spacing w:line="240" w:lineRule="auto"/>
              <w:jc w:val="center"/>
              <w:rPr>
                <w:rFonts w:ascii="Calibri" w:eastAsia="Times New Roman" w:hAnsi="Calibri" w:cs="Calibri"/>
                <w:b/>
                <w:bCs/>
                <w:sz w:val="18"/>
                <w:szCs w:val="18"/>
              </w:rPr>
            </w:pPr>
            <w:r>
              <w:rPr>
                <w:rFonts w:ascii="Calibri" w:eastAsia="Times New Roman" w:hAnsi="Calibri" w:cs="Calibri"/>
                <w:sz w:val="18"/>
                <w:szCs w:val="18"/>
              </w:rPr>
              <w:t>Αριθμός εκδηλώσεων (ενέργειες ενημέρωσης και ευαισθητοποίησης)</w:t>
            </w:r>
          </w:p>
          <w:p w14:paraId="7D047225" w14:textId="77777777" w:rsidR="002A2422" w:rsidRDefault="003B3AD7">
            <w:pPr>
              <w:pStyle w:val="ad"/>
              <w:numPr>
                <w:ilvl w:val="0"/>
                <w:numId w:val="19"/>
              </w:numPr>
              <w:spacing w:line="240" w:lineRule="auto"/>
              <w:jc w:val="center"/>
              <w:rPr>
                <w:rFonts w:ascii="Calibri" w:eastAsia="Times New Roman" w:hAnsi="Calibri" w:cs="Calibri"/>
                <w:b/>
                <w:bCs/>
                <w:sz w:val="18"/>
                <w:szCs w:val="18"/>
              </w:rPr>
            </w:pPr>
            <w:r>
              <w:rPr>
                <w:rFonts w:ascii="Calibri" w:eastAsia="Times New Roman" w:hAnsi="Calibri" w:cs="Calibri"/>
                <w:sz w:val="18"/>
                <w:szCs w:val="18"/>
              </w:rPr>
              <w:t>Μελέτες, εμπειρογνωμοσύνες, έρευνες, αξιολογήσεις</w:t>
            </w:r>
          </w:p>
        </w:tc>
      </w:tr>
    </w:tbl>
    <w:p w14:paraId="31146224" w14:textId="77777777" w:rsidR="002A2422" w:rsidRDefault="002A2422">
      <w:pPr>
        <w:rPr>
          <w:rFonts w:asciiTheme="minorHAnsi" w:hAnsiTheme="minorHAnsi" w:cstheme="minorHAnsi"/>
          <w:sz w:val="24"/>
          <w:szCs w:val="24"/>
        </w:rPr>
      </w:pPr>
    </w:p>
    <w:p w14:paraId="7605BD91" w14:textId="77777777" w:rsidR="002A2422" w:rsidRDefault="003B3AD7">
      <w:pPr>
        <w:pStyle w:val="3"/>
      </w:pPr>
      <w:bookmarkStart w:id="70" w:name="_Toc73665489"/>
      <w:r>
        <w:t>ΥΠΟΠΡΟΓΡΑΜΜΑ Γ΄ ΑΘΛΗΤΙΣΜΟΣ</w:t>
      </w:r>
      <w:bookmarkEnd w:id="70"/>
    </w:p>
    <w:p w14:paraId="5546503F" w14:textId="77777777" w:rsidR="002A2422" w:rsidRDefault="003B3AD7">
      <w:pPr>
        <w:pStyle w:val="3"/>
        <w:numPr>
          <w:ilvl w:val="0"/>
          <w:numId w:val="0"/>
        </w:numPr>
        <w:ind w:left="720"/>
        <w:rPr>
          <w:rFonts w:asciiTheme="minorHAnsi" w:hAnsiTheme="minorHAnsi" w:cstheme="minorHAnsi"/>
        </w:rPr>
      </w:pPr>
      <w:r>
        <w:rPr>
          <w:rFonts w:asciiTheme="minorHAnsi" w:eastAsia="Calibri" w:hAnsiTheme="minorHAnsi" w:cstheme="minorHAnsi"/>
          <w:bCs/>
        </w:rPr>
        <w:t xml:space="preserve">  </w:t>
      </w:r>
    </w:p>
    <w:p w14:paraId="0581625F" w14:textId="77777777" w:rsidR="002A2422" w:rsidRDefault="003B3AD7">
      <w:pPr>
        <w:spacing w:before="60" w:after="60"/>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ΑΝΑΠΤΥΞΙΑΚΟΣ ΣΤΟΧΟΣ  ΕΠΑ ΠΡΑΣΙΝΗ ΑΝΑΠΤΥΞΗ  </w:t>
      </w:r>
    </w:p>
    <w:p w14:paraId="4FA7960D" w14:textId="77777777" w:rsidR="002A2422" w:rsidRDefault="003B3AD7">
      <w:pPr>
        <w:rPr>
          <w:rFonts w:asciiTheme="minorHAnsi" w:eastAsia="Calibri" w:hAnsiTheme="minorHAnsi" w:cstheme="minorHAnsi"/>
          <w:sz w:val="24"/>
          <w:szCs w:val="24"/>
        </w:rPr>
      </w:pPr>
      <w:r>
        <w:rPr>
          <w:rFonts w:asciiTheme="minorHAnsi" w:eastAsia="Calibri" w:hAnsiTheme="minorHAnsi" w:cstheme="minorHAnsi"/>
          <w:sz w:val="24"/>
          <w:szCs w:val="24"/>
        </w:rPr>
        <w:t xml:space="preserve">Στον αναπτυξιακό στόχο της Πράσινης Ανάπτυξης έχει σημαντικό ρόλο η προτεραιότητα της ανέγερσης, συντήρησης και ενεργειακής αναβάθμισης των αθλητικών εγκαταστάσεων, με στόχο την πράσινη οικονομία, την εξοικονόμηση πόρων, την αναβάθμιση της ενεργειακής κλάσης και τη μείωση του ενεργειακού κόστους των αθλητικών υποδομών, στην κατεύθυνση των στρατηγικών στόχων της Ευρωπαϊκής Επιτροπής και του χρηματοδοτικού μηχανισμού του Ταμείου Ανάκαμψης, όπως και των προγραμμάτων ΕΣΠΑ και ΕΠΑ. Για το λόγο αυτό άλλωστε έχει αναπτυχθεί και συνεργασία με την </w:t>
      </w:r>
      <w:r>
        <w:rPr>
          <w:rFonts w:asciiTheme="minorHAnsi" w:eastAsia="Calibri" w:hAnsiTheme="minorHAnsi" w:cstheme="minorHAnsi"/>
          <w:sz w:val="24"/>
          <w:szCs w:val="24"/>
          <w:lang w:val="en-US"/>
        </w:rPr>
        <w:t>DG</w:t>
      </w:r>
      <w:r>
        <w:rPr>
          <w:rFonts w:asciiTheme="minorHAnsi" w:eastAsia="Calibri" w:hAnsiTheme="minorHAnsi" w:cstheme="minorHAnsi"/>
          <w:sz w:val="24"/>
          <w:szCs w:val="24"/>
        </w:rPr>
        <w:t xml:space="preserve"> </w:t>
      </w:r>
      <w:r>
        <w:rPr>
          <w:rFonts w:asciiTheme="minorHAnsi" w:eastAsia="Calibri" w:hAnsiTheme="minorHAnsi" w:cstheme="minorHAnsi"/>
          <w:sz w:val="24"/>
          <w:szCs w:val="24"/>
          <w:lang w:val="en-US"/>
        </w:rPr>
        <w:t>Reforms</w:t>
      </w:r>
      <w:r>
        <w:rPr>
          <w:rFonts w:asciiTheme="minorHAnsi" w:eastAsia="Calibri" w:hAnsiTheme="minorHAnsi" w:cstheme="minorHAnsi"/>
          <w:sz w:val="24"/>
          <w:szCs w:val="24"/>
        </w:rPr>
        <w:t xml:space="preserve"> για την εκπόνηση ενός πρότυπου οδηγού ενεργειακών αναβαθμίσεων προς όφελος των υπηρεσιών της Γ.Γ.Α. και των Δήμων. </w:t>
      </w:r>
    </w:p>
    <w:p w14:paraId="6B344BC2" w14:textId="77777777" w:rsidR="002A2422" w:rsidRDefault="003B3AD7">
      <w:pPr>
        <w:rPr>
          <w:rFonts w:asciiTheme="minorHAnsi" w:eastAsia="Calibri" w:hAnsiTheme="minorHAnsi" w:cstheme="minorHAnsi"/>
          <w:sz w:val="24"/>
          <w:szCs w:val="24"/>
        </w:rPr>
      </w:pPr>
      <w:r>
        <w:rPr>
          <w:rFonts w:asciiTheme="minorHAnsi" w:eastAsia="Calibri" w:hAnsiTheme="minorHAnsi" w:cstheme="minorHAnsi"/>
          <w:sz w:val="24"/>
          <w:szCs w:val="24"/>
        </w:rPr>
        <w:lastRenderedPageBreak/>
        <w:t xml:space="preserve">Στόχος είναι να υφίστανται σε όλη τη χώρα, από τα μεγάλα αστικά κέντρα, μέχρι τις ακριτικές και νησιώτικες περιοχές σύγχρονες αθλητικές εγκαταστάσεις, οι οποίες θα δύνανται να ευνοούν την καλλιέργεια πολλών αθλημάτων (χερσαία, υδάτινα, χειμερινά) από τα πιο δημοφιλή, μέχρι τα πιο εναλλακτικά και να μπορούν να φιλοξενήσουν μεγάλης και μεσαίας κλίμακας εγχώριες και διεθνείς αθλητικές διοργανώσεις. Οι εγκαταστάσεις πρέπει να έχουν φιλικές υποδομές προς τον αθλητή και τον </w:t>
      </w:r>
      <w:proofErr w:type="spellStart"/>
      <w:r>
        <w:rPr>
          <w:rFonts w:asciiTheme="minorHAnsi" w:eastAsia="Calibri" w:hAnsiTheme="minorHAnsi" w:cstheme="minorHAnsi"/>
          <w:sz w:val="24"/>
          <w:szCs w:val="24"/>
        </w:rPr>
        <w:t>αθλούμενο</w:t>
      </w:r>
      <w:proofErr w:type="spellEnd"/>
      <w:r>
        <w:rPr>
          <w:rFonts w:asciiTheme="minorHAnsi" w:eastAsia="Calibri" w:hAnsiTheme="minorHAnsi" w:cstheme="minorHAnsi"/>
          <w:sz w:val="24"/>
          <w:szCs w:val="24"/>
        </w:rPr>
        <w:t xml:space="preserve">, να είναι ασφαλείς και φυσικά να έχουν όλες τις προδιαγραφές προσβασιμότητας των </w:t>
      </w:r>
      <w:proofErr w:type="spellStart"/>
      <w:r>
        <w:rPr>
          <w:rFonts w:asciiTheme="minorHAnsi" w:eastAsia="Calibri" w:hAnsiTheme="minorHAnsi" w:cstheme="minorHAnsi"/>
          <w:sz w:val="24"/>
          <w:szCs w:val="24"/>
        </w:rPr>
        <w:t>ΑμΕΑ</w:t>
      </w:r>
      <w:proofErr w:type="spellEnd"/>
      <w:r>
        <w:rPr>
          <w:rFonts w:asciiTheme="minorHAnsi" w:eastAsia="Calibri" w:hAnsiTheme="minorHAnsi" w:cstheme="minorHAnsi"/>
          <w:sz w:val="24"/>
          <w:szCs w:val="24"/>
        </w:rPr>
        <w:t xml:space="preserve">. </w:t>
      </w:r>
    </w:p>
    <w:p w14:paraId="504B45EA" w14:textId="77777777" w:rsidR="002A2422" w:rsidRDefault="002A2422">
      <w:pPr>
        <w:rPr>
          <w:rFonts w:asciiTheme="minorHAnsi" w:hAnsiTheme="minorHAnsi" w:cstheme="minorHAnsi"/>
          <w:sz w:val="24"/>
          <w:szCs w:val="24"/>
        </w:rPr>
      </w:pPr>
    </w:p>
    <w:p w14:paraId="72C60656" w14:textId="77777777" w:rsidR="002A2422" w:rsidRDefault="003B3AD7">
      <w:pPr>
        <w:spacing w:before="60" w:after="60"/>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ΑΝΑΠΤΥΞΙΑΚΟΣ ΣΤΟΧΟΣ ΕΠΑ ΚΟΙΝΩΝΙΚΗ  ΑΝΑΠΤΥΞΗ: </w:t>
      </w:r>
    </w:p>
    <w:p w14:paraId="31EDF366" w14:textId="77777777" w:rsidR="002A2422" w:rsidRDefault="003B3AD7">
      <w:pPr>
        <w:rPr>
          <w:rFonts w:asciiTheme="minorHAnsi" w:eastAsia="Times New Roman" w:hAnsiTheme="minorHAnsi" w:cstheme="minorHAnsi"/>
          <w:sz w:val="24"/>
          <w:szCs w:val="24"/>
        </w:rPr>
      </w:pPr>
      <w:r>
        <w:rPr>
          <w:rFonts w:asciiTheme="minorHAnsi" w:hAnsiTheme="minorHAnsi" w:cstheme="minorHAnsi"/>
          <w:sz w:val="24"/>
          <w:szCs w:val="24"/>
        </w:rPr>
        <w:t xml:space="preserve">Στον στόχο της Κοινωνικής ανάπτυξης σημαντικό ρόλο αποτελεί η αναβάθμιση των δεξιοτήτων του ανθρώπινου δυναμικού του Αθλητισμού, με </w:t>
      </w:r>
      <w:proofErr w:type="spellStart"/>
      <w:r>
        <w:rPr>
          <w:rFonts w:asciiTheme="minorHAnsi" w:hAnsiTheme="minorHAnsi" w:cstheme="minorHAnsi"/>
          <w:sz w:val="24"/>
          <w:szCs w:val="24"/>
        </w:rPr>
        <w:t>στοχευμένα</w:t>
      </w:r>
      <w:proofErr w:type="spellEnd"/>
      <w:r>
        <w:rPr>
          <w:rFonts w:asciiTheme="minorHAnsi" w:hAnsiTheme="minorHAnsi" w:cstheme="minorHAnsi"/>
          <w:sz w:val="24"/>
          <w:szCs w:val="24"/>
        </w:rPr>
        <w:t xml:space="preserve"> προγράμματα τόνωσης της απασχόλησης καθώς και όπως προαναφέρθηκε, η βελτίωση των υποδομών για την πρόσβαση των ΑΜΕΑ στους αθλητικούς χώρους. Ιδιαίτερη έμφαση δίνεται στην ανάπτυξη 13 δράσεων για την αντιμετώπιση των φαινομένων κακοποίησης και κακοδιοίκησης στον αθλητισμό. Ειδικότερα: επιμόρφωση των στελεχών των αθλητικών φορέων, ώστε να αποκτήσουν τις βέλτιστες διοικητικές ικανότητες, καθώς και δεξιότητες οικονομικής διαχείρισης και αθλητικού </w:t>
      </w:r>
      <w:r>
        <w:rPr>
          <w:rFonts w:asciiTheme="minorHAnsi" w:hAnsiTheme="minorHAnsi" w:cstheme="minorHAnsi"/>
          <w:sz w:val="24"/>
          <w:szCs w:val="24"/>
          <w:lang w:val="en-US"/>
        </w:rPr>
        <w:t>management</w:t>
      </w:r>
      <w:r>
        <w:rPr>
          <w:rFonts w:asciiTheme="minorHAnsi" w:hAnsiTheme="minorHAnsi" w:cstheme="minorHAnsi"/>
          <w:sz w:val="24"/>
          <w:szCs w:val="24"/>
        </w:rPr>
        <w:t xml:space="preserve">, δημιουργία του αθλητικού συνηγόρου, ενός φορέα διαμεσολάβησης μεταξύ της Γ.Γ.Α και της αθλητικής οικογένειας, αθλητική ψυχολογία στις Ομοσπονδίες, </w:t>
      </w:r>
      <w:proofErr w:type="spellStart"/>
      <w:r>
        <w:rPr>
          <w:rFonts w:asciiTheme="minorHAnsi" w:hAnsiTheme="minorHAnsi" w:cstheme="minorHAnsi"/>
          <w:sz w:val="24"/>
          <w:szCs w:val="24"/>
        </w:rPr>
        <w:t>επικαιροποίηση</w:t>
      </w:r>
      <w:proofErr w:type="spellEnd"/>
      <w:r>
        <w:rPr>
          <w:rFonts w:asciiTheme="minorHAnsi" w:hAnsiTheme="minorHAnsi" w:cstheme="minorHAnsi"/>
          <w:sz w:val="24"/>
          <w:szCs w:val="24"/>
        </w:rPr>
        <w:t xml:space="preserve"> και πιστή εφαρμογή των πρωτοκόλλων και των πειθαρχικών κωδίκων, με βάση τους οδηγούς των παγκόσμιων αθλητικών Ομοσπονδιών, της Δ.Ο.Ε. κλπ.</w:t>
      </w:r>
    </w:p>
    <w:p w14:paraId="109F6819" w14:textId="77777777" w:rsidR="002A2422" w:rsidRDefault="002A2422">
      <w:pPr>
        <w:rPr>
          <w:rFonts w:asciiTheme="minorHAnsi" w:hAnsiTheme="minorHAnsi" w:cstheme="minorHAnsi"/>
          <w:sz w:val="24"/>
          <w:szCs w:val="24"/>
        </w:rPr>
      </w:pPr>
    </w:p>
    <w:p w14:paraId="4E694AF7" w14:textId="77777777" w:rsidR="002A2422" w:rsidRDefault="002A2422">
      <w:pPr>
        <w:rPr>
          <w:rFonts w:asciiTheme="minorHAnsi" w:eastAsia="Times New Roman" w:hAnsiTheme="minorHAnsi" w:cstheme="minorHAnsi"/>
          <w:sz w:val="24"/>
          <w:szCs w:val="24"/>
        </w:rPr>
      </w:pPr>
    </w:p>
    <w:p w14:paraId="386DD54D" w14:textId="77777777" w:rsidR="002A2422" w:rsidRDefault="002A2422">
      <w:pPr>
        <w:rPr>
          <w:rFonts w:asciiTheme="minorHAnsi" w:hAnsiTheme="minorHAnsi" w:cstheme="minorHAnsi"/>
        </w:rPr>
      </w:pPr>
    </w:p>
    <w:p w14:paraId="689CB034" w14:textId="77777777" w:rsidR="002A2422" w:rsidRDefault="003B3AD7">
      <w:pPr>
        <w:spacing w:before="60" w:after="60"/>
        <w:rPr>
          <w:rFonts w:asciiTheme="minorHAnsi" w:eastAsia="Calibri" w:hAnsiTheme="minorHAnsi" w:cstheme="minorHAnsi"/>
          <w:b/>
          <w:bCs/>
          <w:sz w:val="24"/>
          <w:szCs w:val="24"/>
        </w:rPr>
      </w:pPr>
      <w:r>
        <w:rPr>
          <w:rFonts w:asciiTheme="minorHAnsi" w:eastAsia="Calibri" w:hAnsiTheme="minorHAnsi" w:cstheme="minorHAnsi"/>
          <w:b/>
          <w:bCs/>
          <w:sz w:val="24"/>
          <w:szCs w:val="24"/>
        </w:rPr>
        <w:t>ΑΝΑΠΤΥΞΙΑΚΟΣ ΣΤΟΧΟΣ ΕΠΑ: ΥΠΟΣΤΗΡΙΞΗ ΠΡΟΓΡΑΜΜΑΤΩΝ</w:t>
      </w:r>
    </w:p>
    <w:p w14:paraId="5E20B4CC" w14:textId="77777777" w:rsidR="002A2422" w:rsidRDefault="003B3AD7">
      <w:pPr>
        <w:rPr>
          <w:rFonts w:asciiTheme="minorHAnsi" w:eastAsia="Calibri" w:hAnsiTheme="minorHAnsi" w:cstheme="minorHAnsi"/>
          <w:sz w:val="24"/>
          <w:szCs w:val="24"/>
        </w:rPr>
      </w:pPr>
      <w:r>
        <w:rPr>
          <w:rFonts w:asciiTheme="minorHAnsi" w:eastAsia="Calibri" w:hAnsiTheme="minorHAnsi" w:cstheme="minorHAnsi"/>
          <w:sz w:val="24"/>
          <w:szCs w:val="24"/>
        </w:rPr>
        <w:t xml:space="preserve">Αφορά πρόγραμμα τεχνικής βοήθειας για την υποστήριξη της υλοποίησης του </w:t>
      </w:r>
      <w:proofErr w:type="spellStart"/>
      <w:r>
        <w:rPr>
          <w:rFonts w:asciiTheme="minorHAnsi" w:eastAsia="Calibri" w:hAnsiTheme="minorHAnsi" w:cstheme="minorHAnsi"/>
          <w:sz w:val="24"/>
          <w:szCs w:val="24"/>
        </w:rPr>
        <w:t>Υποπρογράμματος</w:t>
      </w:r>
      <w:proofErr w:type="spellEnd"/>
      <w:r>
        <w:rPr>
          <w:rFonts w:asciiTheme="minorHAnsi" w:eastAsia="Calibri" w:hAnsiTheme="minorHAnsi" w:cstheme="minorHAnsi"/>
          <w:sz w:val="24"/>
          <w:szCs w:val="24"/>
        </w:rPr>
        <w:t xml:space="preserve"> του αθλητισμού.</w:t>
      </w:r>
    </w:p>
    <w:p w14:paraId="27C4E441" w14:textId="77777777" w:rsidR="002A2422" w:rsidRDefault="002A2422">
      <w:pPr>
        <w:rPr>
          <w:rFonts w:asciiTheme="minorHAnsi" w:hAnsiTheme="minorHAnsi" w:cstheme="minorHAnsi"/>
          <w:sz w:val="24"/>
          <w:szCs w:val="24"/>
        </w:rPr>
      </w:pPr>
    </w:p>
    <w:p w14:paraId="47756BE7" w14:textId="77777777" w:rsidR="002A2422" w:rsidRDefault="003B3AD7">
      <w:pPr>
        <w:pStyle w:val="4"/>
      </w:pPr>
      <w:r>
        <w:lastRenderedPageBreak/>
        <w:t>ΔΕΙΚΤΕΣ ΥΠΟΠΡΟΓΡΑΜΜΑΤΟΣ ΑΘΛΗΤΙΣΜΟΣ</w:t>
      </w:r>
    </w:p>
    <w:p w14:paraId="7EB95208" w14:textId="77777777" w:rsidR="002A2422" w:rsidRDefault="003B3AD7">
      <w:pPr>
        <w:pStyle w:val="4"/>
        <w:numPr>
          <w:ilvl w:val="0"/>
          <w:numId w:val="0"/>
        </w:numPr>
      </w:pPr>
      <w:r>
        <w:t xml:space="preserve">  </w:t>
      </w:r>
    </w:p>
    <w:tbl>
      <w:tblPr>
        <w:tblW w:w="5000" w:type="pct"/>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2121"/>
        <w:gridCol w:w="3403"/>
        <w:gridCol w:w="4099"/>
      </w:tblGrid>
      <w:tr w:rsidR="002A2422" w14:paraId="65B4A07C" w14:textId="77777777">
        <w:trPr>
          <w:tblHeader/>
        </w:trPr>
        <w:tc>
          <w:tcPr>
            <w:tcW w:w="5000" w:type="pct"/>
            <w:gridSpan w:val="3"/>
            <w:tcBorders>
              <w:bottom w:val="double" w:sz="4" w:space="0" w:color="808080"/>
            </w:tcBorders>
            <w:shd w:val="clear" w:color="auto" w:fill="808080"/>
            <w:vAlign w:val="center"/>
          </w:tcPr>
          <w:p w14:paraId="268D0A4C" w14:textId="77777777" w:rsidR="002A2422" w:rsidRDefault="003B3AD7">
            <w:pPr>
              <w:pStyle w:val="ad"/>
              <w:ind w:left="1080"/>
              <w:jc w:val="center"/>
              <w:rPr>
                <w:rFonts w:ascii="Calibri" w:eastAsia="Calibri" w:hAnsi="Calibri" w:cs="Calibri"/>
                <w:b/>
                <w:bCs/>
                <w:sz w:val="18"/>
                <w:szCs w:val="18"/>
              </w:rPr>
            </w:pPr>
            <w:r>
              <w:rPr>
                <w:rFonts w:ascii="Calibri" w:eastAsia="Calibri" w:hAnsi="Calibri" w:cs="Calibri"/>
                <w:b/>
                <w:sz w:val="18"/>
                <w:szCs w:val="18"/>
                <w:u w:val="single"/>
              </w:rPr>
              <w:t xml:space="preserve">ΑΝΑΠΤΥΞΙΑΚΟΣ ΣΤΟΧΟΣ   ΕΠΑ </w:t>
            </w:r>
            <w:r>
              <w:rPr>
                <w:rFonts w:ascii="Calibri" w:eastAsia="Calibri" w:hAnsi="Calibri" w:cs="Calibri"/>
                <w:b/>
                <w:bCs/>
                <w:sz w:val="18"/>
                <w:szCs w:val="18"/>
                <w:u w:val="single"/>
              </w:rPr>
              <w:t>ΠΡΑΣΙΝΗ ΑΝΑΠΤΥΞΗ</w:t>
            </w:r>
          </w:p>
          <w:p w14:paraId="0BD0D629" w14:textId="77777777" w:rsidR="002A2422" w:rsidRDefault="002A2422">
            <w:pPr>
              <w:jc w:val="center"/>
              <w:rPr>
                <w:rFonts w:ascii="Calibri" w:eastAsia="Times New Roman" w:hAnsi="Calibri" w:cs="Calibri"/>
                <w:b/>
                <w:bCs/>
                <w:sz w:val="18"/>
                <w:szCs w:val="18"/>
              </w:rPr>
            </w:pPr>
          </w:p>
        </w:tc>
      </w:tr>
      <w:tr w:rsidR="002A2422" w14:paraId="3374DE12" w14:textId="77777777">
        <w:trPr>
          <w:tblHeader/>
        </w:trPr>
        <w:tc>
          <w:tcPr>
            <w:tcW w:w="1102" w:type="pct"/>
            <w:tcBorders>
              <w:bottom w:val="double" w:sz="4" w:space="0" w:color="808080"/>
            </w:tcBorders>
            <w:shd w:val="clear" w:color="auto" w:fill="808080"/>
            <w:vAlign w:val="center"/>
          </w:tcPr>
          <w:p w14:paraId="5D7D9AB9"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ΠΡΟΤΕΡΑΙΟΤΗΤΑ ΤΠΑ /ΥΠΠΟΑ</w:t>
            </w:r>
          </w:p>
        </w:tc>
        <w:tc>
          <w:tcPr>
            <w:tcW w:w="1768" w:type="pct"/>
            <w:tcBorders>
              <w:bottom w:val="double" w:sz="4" w:space="0" w:color="808080"/>
            </w:tcBorders>
            <w:shd w:val="clear" w:color="auto" w:fill="808080"/>
            <w:vAlign w:val="center"/>
          </w:tcPr>
          <w:p w14:paraId="36A597B4"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ΑΝΤΙΣΤΟΙΧΗΣΗ ΜΕ ΠΡΟΤΕΡΑΙΟΤΗΤΑ ΕΠΑ</w:t>
            </w:r>
          </w:p>
        </w:tc>
        <w:tc>
          <w:tcPr>
            <w:tcW w:w="2128" w:type="pct"/>
            <w:tcBorders>
              <w:bottom w:val="double" w:sz="4" w:space="0" w:color="808080"/>
            </w:tcBorders>
            <w:shd w:val="clear" w:color="auto" w:fill="808080"/>
            <w:vAlign w:val="center"/>
          </w:tcPr>
          <w:p w14:paraId="09B9AED5" w14:textId="77777777" w:rsidR="002A2422" w:rsidRDefault="003B3AD7">
            <w:pPr>
              <w:jc w:val="center"/>
              <w:rPr>
                <w:rFonts w:ascii="Calibri" w:eastAsia="Calibri" w:hAnsi="Calibri" w:cs="Calibri"/>
                <w:sz w:val="18"/>
                <w:szCs w:val="18"/>
              </w:rPr>
            </w:pPr>
            <w:r>
              <w:rPr>
                <w:rFonts w:ascii="Calibri" w:eastAsia="Times New Roman" w:hAnsi="Calibri" w:cs="Calibri"/>
                <w:b/>
                <w:bCs/>
                <w:sz w:val="18"/>
                <w:szCs w:val="18"/>
              </w:rPr>
              <w:t>ΠΡΟΤΕΙΝΟΜΕΝΟΙ ΔΕΙΚΤΕΣ</w:t>
            </w:r>
          </w:p>
        </w:tc>
      </w:tr>
      <w:tr w:rsidR="002A2422" w14:paraId="6481ACE0" w14:textId="77777777">
        <w:tc>
          <w:tcPr>
            <w:tcW w:w="1102" w:type="pct"/>
            <w:shd w:val="clear" w:color="auto" w:fill="auto"/>
            <w:vAlign w:val="center"/>
          </w:tcPr>
          <w:p w14:paraId="25783753" w14:textId="77777777" w:rsidR="002A2422" w:rsidRDefault="003B3AD7">
            <w:pPr>
              <w:autoSpaceDE w:val="0"/>
              <w:autoSpaceDN w:val="0"/>
              <w:adjustRightInd w:val="0"/>
              <w:jc w:val="center"/>
              <w:rPr>
                <w:rFonts w:ascii="Calibri" w:eastAsia="Times New Roman" w:hAnsi="Calibri" w:cs="Calibri"/>
                <w:sz w:val="18"/>
                <w:szCs w:val="18"/>
              </w:rPr>
            </w:pPr>
            <w:r>
              <w:rPr>
                <w:rFonts w:ascii="Calibri" w:eastAsia="Times New Roman" w:hAnsi="Calibri" w:cs="Calibri"/>
                <w:b/>
                <w:bCs/>
                <w:sz w:val="18"/>
                <w:szCs w:val="18"/>
              </w:rPr>
              <w:t>Ενεργειακή απόδοση</w:t>
            </w:r>
          </w:p>
        </w:tc>
        <w:tc>
          <w:tcPr>
            <w:tcW w:w="1768" w:type="pct"/>
            <w:shd w:val="clear" w:color="auto" w:fill="auto"/>
            <w:vAlign w:val="center"/>
          </w:tcPr>
          <w:p w14:paraId="0FEF3C61"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2.1</w:t>
            </w:r>
          </w:p>
        </w:tc>
        <w:tc>
          <w:tcPr>
            <w:tcW w:w="2128" w:type="pct"/>
            <w:shd w:val="clear" w:color="auto" w:fill="FFFFFF"/>
            <w:vAlign w:val="center"/>
          </w:tcPr>
          <w:p w14:paraId="67EC04D1" w14:textId="77777777" w:rsidR="002A2422" w:rsidRDefault="003B3AD7">
            <w:pPr>
              <w:pStyle w:val="ad"/>
              <w:widowControl w:val="0"/>
              <w:numPr>
                <w:ilvl w:val="0"/>
                <w:numId w:val="21"/>
              </w:numPr>
              <w:autoSpaceDE w:val="0"/>
              <w:autoSpaceDN w:val="0"/>
              <w:adjustRightInd w:val="0"/>
              <w:spacing w:before="40" w:after="40"/>
              <w:jc w:val="center"/>
              <w:rPr>
                <w:rFonts w:ascii="Calibri" w:eastAsia="Times New Roman" w:hAnsi="Calibri" w:cs="Calibri"/>
                <w:sz w:val="18"/>
                <w:szCs w:val="18"/>
              </w:rPr>
            </w:pPr>
            <w:r>
              <w:rPr>
                <w:rFonts w:ascii="Calibri" w:eastAsia="Times New Roman" w:hAnsi="Calibri" w:cs="Calibri"/>
                <w:sz w:val="18"/>
                <w:szCs w:val="18"/>
              </w:rPr>
              <w:t>Αθλητικές εγκαταστάσεις (χ αριθμός έργων βελτίωσης)</w:t>
            </w:r>
          </w:p>
        </w:tc>
      </w:tr>
      <w:tr w:rsidR="002A2422" w14:paraId="17E2D34A" w14:textId="77777777">
        <w:tc>
          <w:tcPr>
            <w:tcW w:w="1102" w:type="pct"/>
            <w:shd w:val="clear" w:color="auto" w:fill="auto"/>
            <w:vAlign w:val="center"/>
          </w:tcPr>
          <w:p w14:paraId="5DD1FD3E" w14:textId="77777777" w:rsidR="002A2422" w:rsidRDefault="003B3AD7">
            <w:pPr>
              <w:autoSpaceDE w:val="0"/>
              <w:autoSpaceDN w:val="0"/>
              <w:adjustRightInd w:val="0"/>
              <w:jc w:val="center"/>
              <w:rPr>
                <w:rFonts w:ascii="Calibri" w:eastAsia="Times New Roman" w:hAnsi="Calibri" w:cs="Calibri"/>
                <w:b/>
                <w:bCs/>
                <w:sz w:val="18"/>
                <w:szCs w:val="18"/>
                <w:lang w:val="en-US"/>
              </w:rPr>
            </w:pPr>
            <w:proofErr w:type="spellStart"/>
            <w:r>
              <w:rPr>
                <w:rFonts w:ascii="Calibri" w:eastAsia="Times New Roman" w:hAnsi="Calibri" w:cs="Calibri"/>
                <w:b/>
                <w:bCs/>
                <w:sz w:val="18"/>
                <w:szCs w:val="18"/>
                <w:lang w:val="en-US"/>
              </w:rPr>
              <w:t>Πρόληψη</w:t>
            </w:r>
            <w:proofErr w:type="spellEnd"/>
            <w:r>
              <w:rPr>
                <w:rFonts w:ascii="Calibri" w:eastAsia="Times New Roman" w:hAnsi="Calibri" w:cs="Calibri"/>
                <w:b/>
                <w:bCs/>
                <w:sz w:val="18"/>
                <w:szCs w:val="18"/>
                <w:lang w:val="en-US"/>
              </w:rPr>
              <w:t xml:space="preserve"> &amp; </w:t>
            </w:r>
            <w:proofErr w:type="spellStart"/>
            <w:r>
              <w:rPr>
                <w:rFonts w:ascii="Calibri" w:eastAsia="Times New Roman" w:hAnsi="Calibri" w:cs="Calibri"/>
                <w:b/>
                <w:bCs/>
                <w:sz w:val="18"/>
                <w:szCs w:val="18"/>
                <w:lang w:val="en-US"/>
              </w:rPr>
              <w:t>δι</w:t>
            </w:r>
            <w:proofErr w:type="spellEnd"/>
            <w:r>
              <w:rPr>
                <w:rFonts w:ascii="Calibri" w:eastAsia="Times New Roman" w:hAnsi="Calibri" w:cs="Calibri"/>
                <w:b/>
                <w:bCs/>
                <w:sz w:val="18"/>
                <w:szCs w:val="18"/>
                <w:lang w:val="en-US"/>
              </w:rPr>
              <w:t xml:space="preserve">αχείριση </w:t>
            </w:r>
            <w:proofErr w:type="spellStart"/>
            <w:r>
              <w:rPr>
                <w:rFonts w:ascii="Calibri" w:eastAsia="Times New Roman" w:hAnsi="Calibri" w:cs="Calibri"/>
                <w:b/>
                <w:bCs/>
                <w:sz w:val="18"/>
                <w:szCs w:val="18"/>
                <w:lang w:val="en-US"/>
              </w:rPr>
              <w:t>κινδύνων</w:t>
            </w:r>
            <w:proofErr w:type="spellEnd"/>
          </w:p>
        </w:tc>
        <w:tc>
          <w:tcPr>
            <w:tcW w:w="1768" w:type="pct"/>
            <w:shd w:val="clear" w:color="auto" w:fill="auto"/>
            <w:vAlign w:val="center"/>
          </w:tcPr>
          <w:p w14:paraId="5BED14A1"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2.4</w:t>
            </w:r>
          </w:p>
        </w:tc>
        <w:tc>
          <w:tcPr>
            <w:tcW w:w="2128" w:type="pct"/>
            <w:shd w:val="clear" w:color="auto" w:fill="FFFFFF"/>
            <w:vAlign w:val="center"/>
          </w:tcPr>
          <w:p w14:paraId="313D4DEA" w14:textId="77777777" w:rsidR="002A2422" w:rsidRDefault="003B3AD7">
            <w:pPr>
              <w:widowControl w:val="0"/>
              <w:autoSpaceDE w:val="0"/>
              <w:autoSpaceDN w:val="0"/>
              <w:adjustRightInd w:val="0"/>
              <w:spacing w:before="40" w:after="40"/>
              <w:ind w:left="318"/>
              <w:jc w:val="center"/>
              <w:rPr>
                <w:rFonts w:ascii="Calibri" w:eastAsia="Times New Roman" w:hAnsi="Calibri" w:cs="Calibri"/>
                <w:sz w:val="18"/>
                <w:szCs w:val="18"/>
              </w:rPr>
            </w:pPr>
            <w:r>
              <w:rPr>
                <w:rFonts w:ascii="Calibri" w:eastAsia="Times New Roman" w:hAnsi="Calibri"/>
                <w:sz w:val="18"/>
                <w:szCs w:val="18"/>
              </w:rPr>
              <w:t>Αριθ. έργων ενεργειακής απόδοσης, μετριασμού της αλλαγής του κλίματος</w:t>
            </w:r>
          </w:p>
        </w:tc>
      </w:tr>
      <w:tr w:rsidR="002A2422" w14:paraId="2E96FA07" w14:textId="77777777">
        <w:trPr>
          <w:tblHeader/>
        </w:trPr>
        <w:tc>
          <w:tcPr>
            <w:tcW w:w="5000" w:type="pct"/>
            <w:gridSpan w:val="3"/>
            <w:tcBorders>
              <w:bottom w:val="double" w:sz="4" w:space="0" w:color="808080"/>
            </w:tcBorders>
            <w:shd w:val="clear" w:color="auto" w:fill="808080"/>
            <w:vAlign w:val="center"/>
          </w:tcPr>
          <w:p w14:paraId="73D08A15" w14:textId="77777777" w:rsidR="002A2422" w:rsidRDefault="003B3AD7">
            <w:pPr>
              <w:jc w:val="center"/>
              <w:rPr>
                <w:rFonts w:ascii="Calibri" w:eastAsia="Calibri" w:hAnsi="Calibri" w:cs="Calibri"/>
                <w:b/>
                <w:bCs/>
                <w:sz w:val="18"/>
                <w:szCs w:val="18"/>
              </w:rPr>
            </w:pPr>
            <w:r>
              <w:rPr>
                <w:rFonts w:ascii="Calibri" w:eastAsia="Calibri" w:hAnsi="Calibri" w:cs="Calibri"/>
                <w:b/>
                <w:sz w:val="18"/>
                <w:szCs w:val="18"/>
                <w:u w:val="single"/>
              </w:rPr>
              <w:t xml:space="preserve">ΑΝΑΠΤΥΞΙΑΚΟΣ ΣΤΟΧΟΣ   ΕΠΑ </w:t>
            </w:r>
            <w:r>
              <w:rPr>
                <w:rFonts w:ascii="Calibri" w:eastAsia="Calibri" w:hAnsi="Calibri" w:cs="Calibri"/>
                <w:b/>
                <w:bCs/>
                <w:sz w:val="18"/>
                <w:szCs w:val="18"/>
                <w:u w:val="single"/>
              </w:rPr>
              <w:t xml:space="preserve"> ΚΟΙΝΩΝΙΚΗ  ΑΝΑΠΤΥΞΗ</w:t>
            </w:r>
          </w:p>
          <w:p w14:paraId="224E3D6B" w14:textId="77777777" w:rsidR="002A2422" w:rsidRDefault="002A2422">
            <w:pPr>
              <w:jc w:val="center"/>
              <w:rPr>
                <w:rFonts w:ascii="Calibri" w:eastAsia="Times New Roman" w:hAnsi="Calibri" w:cs="Calibri"/>
                <w:b/>
                <w:bCs/>
                <w:sz w:val="18"/>
                <w:szCs w:val="18"/>
              </w:rPr>
            </w:pPr>
          </w:p>
        </w:tc>
      </w:tr>
      <w:tr w:rsidR="002A2422" w14:paraId="478030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2" w:type="pct"/>
            <w:shd w:val="clear" w:color="auto" w:fill="auto"/>
          </w:tcPr>
          <w:p w14:paraId="7102B54F" w14:textId="77777777" w:rsidR="002A2422" w:rsidRDefault="003B3AD7">
            <w:pPr>
              <w:autoSpaceDE w:val="0"/>
              <w:autoSpaceDN w:val="0"/>
              <w:adjustRightInd w:val="0"/>
              <w:jc w:val="center"/>
              <w:rPr>
                <w:rFonts w:ascii="Calibri" w:eastAsia="Times New Roman" w:hAnsi="Calibri" w:cs="Calibri"/>
                <w:b/>
                <w:sz w:val="18"/>
                <w:szCs w:val="18"/>
              </w:rPr>
            </w:pPr>
            <w:r>
              <w:rPr>
                <w:rFonts w:ascii="Calibri" w:eastAsia="Times New Roman" w:hAnsi="Calibri" w:cs="Calibri"/>
                <w:b/>
                <w:sz w:val="18"/>
                <w:szCs w:val="18"/>
              </w:rPr>
              <w:t>Υποδομές στον τομέα του αθλητισμού</w:t>
            </w:r>
          </w:p>
        </w:tc>
        <w:tc>
          <w:tcPr>
            <w:tcW w:w="1768" w:type="pct"/>
            <w:shd w:val="clear" w:color="auto" w:fill="auto"/>
          </w:tcPr>
          <w:p w14:paraId="0FF27E94"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3.2</w:t>
            </w:r>
          </w:p>
        </w:tc>
        <w:tc>
          <w:tcPr>
            <w:tcW w:w="2128" w:type="pct"/>
            <w:shd w:val="clear" w:color="auto" w:fill="auto"/>
          </w:tcPr>
          <w:p w14:paraId="64EEB660" w14:textId="77777777" w:rsidR="002A2422" w:rsidRDefault="003B3AD7">
            <w:pPr>
              <w:pStyle w:val="ad"/>
              <w:numPr>
                <w:ilvl w:val="0"/>
                <w:numId w:val="14"/>
              </w:numPr>
              <w:spacing w:line="240" w:lineRule="auto"/>
              <w:jc w:val="center"/>
              <w:rPr>
                <w:rFonts w:ascii="Calibri" w:eastAsia="Times New Roman" w:hAnsi="Calibri" w:cs="Calibri"/>
                <w:bCs/>
                <w:sz w:val="18"/>
                <w:szCs w:val="18"/>
              </w:rPr>
            </w:pPr>
            <w:r>
              <w:rPr>
                <w:rFonts w:ascii="Calibri" w:eastAsia="Times New Roman" w:hAnsi="Calibri" w:cs="Calibri"/>
                <w:bCs/>
                <w:sz w:val="18"/>
                <w:szCs w:val="18"/>
              </w:rPr>
              <w:t>Χ αριθμός νέων αθλητικών εγκαταστάσεων</w:t>
            </w:r>
          </w:p>
          <w:p w14:paraId="34D76D13" w14:textId="77777777" w:rsidR="002A2422" w:rsidRDefault="003B3AD7">
            <w:pPr>
              <w:pStyle w:val="ad"/>
              <w:numPr>
                <w:ilvl w:val="0"/>
                <w:numId w:val="14"/>
              </w:numPr>
              <w:spacing w:line="240" w:lineRule="auto"/>
              <w:jc w:val="center"/>
              <w:rPr>
                <w:rFonts w:ascii="Calibri" w:eastAsia="Times New Roman" w:hAnsi="Calibri" w:cs="Calibri"/>
                <w:sz w:val="18"/>
                <w:szCs w:val="18"/>
              </w:rPr>
            </w:pPr>
            <w:r>
              <w:rPr>
                <w:rFonts w:ascii="Calibri" w:eastAsia="Times New Roman" w:hAnsi="Calibri" w:cs="Calibri"/>
                <w:bCs/>
                <w:sz w:val="18"/>
                <w:szCs w:val="18"/>
              </w:rPr>
              <w:t>Χ αριθμός έργων βελτίωσης - συντήρησης</w:t>
            </w:r>
          </w:p>
        </w:tc>
      </w:tr>
      <w:tr w:rsidR="002A2422" w14:paraId="58995C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2" w:type="pct"/>
            <w:shd w:val="clear" w:color="auto" w:fill="auto"/>
          </w:tcPr>
          <w:p w14:paraId="1BD038C6" w14:textId="77777777" w:rsidR="002A2422" w:rsidRDefault="003B3AD7">
            <w:pPr>
              <w:jc w:val="center"/>
              <w:rPr>
                <w:rFonts w:ascii="Calibri" w:eastAsia="Times New Roman" w:hAnsi="Calibri" w:cs="Calibri"/>
                <w:b/>
                <w:bCs/>
                <w:sz w:val="18"/>
                <w:szCs w:val="18"/>
              </w:rPr>
            </w:pPr>
            <w:r>
              <w:rPr>
                <w:rFonts w:ascii="Calibri" w:eastAsia="Times New Roman" w:hAnsi="Calibri" w:cs="Calibri"/>
                <w:b/>
                <w:bCs/>
                <w:sz w:val="18"/>
                <w:szCs w:val="18"/>
              </w:rPr>
              <w:t>Ενίσχυση υποδομών για βελτίωση της οικονομικής και κοινωνικής ενσωμάτωσης</w:t>
            </w:r>
          </w:p>
        </w:tc>
        <w:tc>
          <w:tcPr>
            <w:tcW w:w="1768" w:type="pct"/>
            <w:shd w:val="clear" w:color="auto" w:fill="auto"/>
          </w:tcPr>
          <w:p w14:paraId="1E1EBADB" w14:textId="77777777" w:rsidR="002A2422" w:rsidRDefault="003B3AD7">
            <w:pPr>
              <w:jc w:val="center"/>
              <w:rPr>
                <w:rFonts w:ascii="Calibri" w:hAnsi="Calibri" w:cs="Calibri"/>
                <w:b/>
                <w:bCs/>
                <w:sz w:val="18"/>
                <w:szCs w:val="18"/>
              </w:rPr>
            </w:pPr>
            <w:r>
              <w:rPr>
                <w:rFonts w:ascii="Calibri" w:hAnsi="Calibri" w:cs="Calibri"/>
                <w:b/>
                <w:bCs/>
                <w:sz w:val="18"/>
                <w:szCs w:val="18"/>
              </w:rPr>
              <w:t>3.8</w:t>
            </w:r>
          </w:p>
        </w:tc>
        <w:tc>
          <w:tcPr>
            <w:tcW w:w="2128" w:type="pct"/>
            <w:shd w:val="clear" w:color="auto" w:fill="auto"/>
          </w:tcPr>
          <w:p w14:paraId="1BF31C82" w14:textId="77777777" w:rsidR="002A2422" w:rsidRDefault="003B3AD7">
            <w:pPr>
              <w:pStyle w:val="ad"/>
              <w:numPr>
                <w:ilvl w:val="0"/>
                <w:numId w:val="22"/>
              </w:numPr>
              <w:spacing w:line="240" w:lineRule="auto"/>
              <w:jc w:val="center"/>
              <w:rPr>
                <w:rFonts w:ascii="Calibri" w:eastAsia="Times New Roman" w:hAnsi="Calibri" w:cs="Calibri"/>
                <w:b/>
                <w:bCs/>
                <w:sz w:val="18"/>
                <w:szCs w:val="18"/>
              </w:rPr>
            </w:pPr>
            <w:r>
              <w:rPr>
                <w:rFonts w:ascii="Calibri" w:eastAsia="Times New Roman" w:hAnsi="Calibri" w:cs="Calibri"/>
                <w:sz w:val="18"/>
                <w:szCs w:val="18"/>
              </w:rPr>
              <w:t>Αριθμός έργων και δράσεων σε αθλητικές</w:t>
            </w:r>
            <w:r>
              <w:rPr>
                <w:rFonts w:ascii="Calibri" w:eastAsia="Times New Roman" w:hAnsi="Calibri" w:cs="Calibri"/>
                <w:b/>
                <w:bCs/>
                <w:sz w:val="18"/>
                <w:szCs w:val="18"/>
              </w:rPr>
              <w:t xml:space="preserve"> </w:t>
            </w:r>
            <w:r>
              <w:rPr>
                <w:rFonts w:ascii="Calibri" w:eastAsia="Times New Roman" w:hAnsi="Calibri" w:cs="Calibri"/>
                <w:sz w:val="18"/>
                <w:szCs w:val="18"/>
              </w:rPr>
              <w:t xml:space="preserve">εγκαταστάσεις προς όφελος της εξυπηρέτησης των </w:t>
            </w:r>
            <w:proofErr w:type="spellStart"/>
            <w:r>
              <w:rPr>
                <w:rFonts w:ascii="Calibri" w:eastAsia="Times New Roman" w:hAnsi="Calibri" w:cs="Calibri"/>
                <w:sz w:val="18"/>
                <w:szCs w:val="18"/>
              </w:rPr>
              <w:t>ΑμΕΑ</w:t>
            </w:r>
            <w:proofErr w:type="spellEnd"/>
            <w:r>
              <w:rPr>
                <w:rFonts w:ascii="Calibri" w:eastAsia="Times New Roman" w:hAnsi="Calibri" w:cs="Calibri"/>
                <w:sz w:val="18"/>
                <w:szCs w:val="18"/>
              </w:rPr>
              <w:t xml:space="preserve"> και άλλων κοινωνικών ομάδων </w:t>
            </w:r>
          </w:p>
        </w:tc>
      </w:tr>
      <w:tr w:rsidR="002A2422" w14:paraId="5899F8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2" w:type="pct"/>
            <w:shd w:val="clear" w:color="auto" w:fill="auto"/>
          </w:tcPr>
          <w:p w14:paraId="0E7E79F6" w14:textId="77777777" w:rsidR="002A2422" w:rsidRDefault="003B3AD7">
            <w:pPr>
              <w:jc w:val="center"/>
              <w:rPr>
                <w:rFonts w:ascii="Calibri" w:eastAsia="Times New Roman" w:hAnsi="Calibri" w:cs="Calibri"/>
                <w:b/>
                <w:bCs/>
                <w:sz w:val="18"/>
                <w:szCs w:val="18"/>
              </w:rPr>
            </w:pPr>
            <w:r>
              <w:rPr>
                <w:rFonts w:ascii="Calibri" w:eastAsia="Times New Roman" w:hAnsi="Calibri" w:cs="Calibri"/>
                <w:b/>
                <w:bCs/>
                <w:sz w:val="18"/>
                <w:szCs w:val="18"/>
              </w:rPr>
              <w:t>Αντιμετώπιση ανισοτήτων στις απομακρυσμένες και νησιωτικές περιοχές</w:t>
            </w:r>
          </w:p>
        </w:tc>
        <w:tc>
          <w:tcPr>
            <w:tcW w:w="1768" w:type="pct"/>
            <w:shd w:val="clear" w:color="auto" w:fill="auto"/>
          </w:tcPr>
          <w:p w14:paraId="25199594" w14:textId="77777777" w:rsidR="002A2422" w:rsidRDefault="003B3AD7">
            <w:pPr>
              <w:jc w:val="center"/>
              <w:rPr>
                <w:rFonts w:ascii="Calibri" w:hAnsi="Calibri" w:cs="Calibri"/>
                <w:b/>
                <w:bCs/>
                <w:sz w:val="18"/>
                <w:szCs w:val="18"/>
              </w:rPr>
            </w:pPr>
            <w:r>
              <w:rPr>
                <w:rFonts w:ascii="Calibri" w:hAnsi="Calibri" w:cs="Calibri"/>
                <w:b/>
                <w:bCs/>
                <w:sz w:val="18"/>
                <w:szCs w:val="18"/>
              </w:rPr>
              <w:t>3.9</w:t>
            </w:r>
          </w:p>
        </w:tc>
        <w:tc>
          <w:tcPr>
            <w:tcW w:w="2128" w:type="pct"/>
            <w:shd w:val="clear" w:color="auto" w:fill="auto"/>
          </w:tcPr>
          <w:p w14:paraId="618C25FB" w14:textId="77777777" w:rsidR="002A2422" w:rsidRDefault="003B3AD7">
            <w:pPr>
              <w:pStyle w:val="ad"/>
              <w:numPr>
                <w:ilvl w:val="0"/>
                <w:numId w:val="22"/>
              </w:numPr>
              <w:spacing w:line="240" w:lineRule="auto"/>
              <w:jc w:val="center"/>
              <w:rPr>
                <w:rFonts w:ascii="Calibri" w:eastAsia="Times New Roman" w:hAnsi="Calibri" w:cs="Calibri"/>
                <w:b/>
                <w:bCs/>
                <w:sz w:val="18"/>
                <w:szCs w:val="18"/>
              </w:rPr>
            </w:pPr>
            <w:r>
              <w:rPr>
                <w:rFonts w:ascii="Calibri" w:eastAsia="Times New Roman" w:hAnsi="Calibri" w:cs="Calibri"/>
                <w:sz w:val="18"/>
                <w:szCs w:val="18"/>
              </w:rPr>
              <w:t>Αριθμός έργων σε αθλητικές εγκαταστάσεις που βρίσκονται σε νησιωτικές και απομακρυσμένες περιοχές</w:t>
            </w:r>
          </w:p>
        </w:tc>
      </w:tr>
      <w:tr w:rsidR="002A2422" w14:paraId="05F52789" w14:textId="77777777">
        <w:trPr>
          <w:tblHeader/>
        </w:trPr>
        <w:tc>
          <w:tcPr>
            <w:tcW w:w="5000" w:type="pct"/>
            <w:gridSpan w:val="3"/>
            <w:tcBorders>
              <w:bottom w:val="double" w:sz="4" w:space="0" w:color="808080"/>
            </w:tcBorders>
            <w:shd w:val="clear" w:color="auto" w:fill="808080"/>
            <w:vAlign w:val="center"/>
          </w:tcPr>
          <w:p w14:paraId="25DF6367"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u w:val="single"/>
              </w:rPr>
              <w:t xml:space="preserve">ΑΝΑΠΤΥΞΙΑΚΟΣ ΣΤΟΧΟΣ   ΕΠΑ </w:t>
            </w:r>
            <w:r>
              <w:rPr>
                <w:rFonts w:ascii="Calibri" w:eastAsia="Calibri" w:hAnsi="Calibri" w:cs="Calibri"/>
                <w:b/>
                <w:bCs/>
                <w:sz w:val="18"/>
                <w:szCs w:val="18"/>
                <w:u w:val="single"/>
              </w:rPr>
              <w:t xml:space="preserve"> ΥΠΟΣΤΗΡΙΞΗ ΠΡΟΓΡΑΜΜΑΤΩΝ</w:t>
            </w:r>
          </w:p>
        </w:tc>
      </w:tr>
      <w:tr w:rsidR="002A2422" w14:paraId="7852B2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2" w:type="pct"/>
            <w:shd w:val="clear" w:color="auto" w:fill="auto"/>
          </w:tcPr>
          <w:p w14:paraId="28FA6054"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ΠΡΟΤΕΡΑΙΟΤΗΤΑ ΤΠΑ /ΥΠΠΟΑ</w:t>
            </w:r>
          </w:p>
        </w:tc>
        <w:tc>
          <w:tcPr>
            <w:tcW w:w="1768" w:type="pct"/>
            <w:shd w:val="clear" w:color="auto" w:fill="auto"/>
          </w:tcPr>
          <w:p w14:paraId="284E3AC7"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ΑΝΤΙΣΤΟΙΧΗΣΗ ΜΕ ΠΡΟΤΕΡΑΙΟΤΗΤΑ ΕΠΑ</w:t>
            </w:r>
          </w:p>
        </w:tc>
        <w:tc>
          <w:tcPr>
            <w:tcW w:w="2128" w:type="pct"/>
            <w:shd w:val="clear" w:color="auto" w:fill="auto"/>
          </w:tcPr>
          <w:p w14:paraId="5C31A9FA" w14:textId="77777777" w:rsidR="002A2422" w:rsidRDefault="003B3AD7">
            <w:pPr>
              <w:jc w:val="center"/>
              <w:rPr>
                <w:rFonts w:ascii="Calibri" w:eastAsia="Calibri" w:hAnsi="Calibri" w:cs="Calibri"/>
                <w:sz w:val="18"/>
                <w:szCs w:val="18"/>
              </w:rPr>
            </w:pPr>
            <w:r>
              <w:rPr>
                <w:rFonts w:ascii="Calibri" w:eastAsia="Times New Roman" w:hAnsi="Calibri" w:cs="Calibri"/>
                <w:b/>
                <w:bCs/>
                <w:sz w:val="18"/>
                <w:szCs w:val="18"/>
              </w:rPr>
              <w:t>ΠΡΟΤΕΙΝΟΜΕΝΟΙ ΔΕΙΚΤΕΣ</w:t>
            </w:r>
          </w:p>
        </w:tc>
      </w:tr>
      <w:tr w:rsidR="002A2422" w14:paraId="673B6F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2" w:type="pct"/>
            <w:shd w:val="clear" w:color="auto" w:fill="auto"/>
          </w:tcPr>
          <w:p w14:paraId="17A2AAFC"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Calibri" w:hAnsi="Calibri" w:cs="Calibri"/>
                <w:b/>
                <w:bCs/>
                <w:sz w:val="18"/>
                <w:szCs w:val="18"/>
              </w:rPr>
              <w:t>Υποστήριξη Προγραμμάτων</w:t>
            </w:r>
          </w:p>
        </w:tc>
        <w:tc>
          <w:tcPr>
            <w:tcW w:w="1768" w:type="pct"/>
            <w:shd w:val="clear" w:color="auto" w:fill="auto"/>
          </w:tcPr>
          <w:p w14:paraId="56863BB8" w14:textId="77777777" w:rsidR="002A2422" w:rsidRDefault="003B3AD7">
            <w:pPr>
              <w:autoSpaceDE w:val="0"/>
              <w:autoSpaceDN w:val="0"/>
              <w:adjustRightInd w:val="0"/>
              <w:jc w:val="center"/>
              <w:rPr>
                <w:rFonts w:ascii="Calibri" w:eastAsia="Times New Roman" w:hAnsi="Calibri" w:cs="Calibri"/>
                <w:b/>
                <w:bCs/>
                <w:sz w:val="18"/>
                <w:szCs w:val="18"/>
              </w:rPr>
            </w:pPr>
            <w:r>
              <w:rPr>
                <w:rFonts w:ascii="Calibri" w:eastAsia="Times New Roman" w:hAnsi="Calibri" w:cs="Calibri"/>
                <w:b/>
                <w:bCs/>
                <w:sz w:val="18"/>
                <w:szCs w:val="18"/>
              </w:rPr>
              <w:t>6.1</w:t>
            </w:r>
          </w:p>
        </w:tc>
        <w:tc>
          <w:tcPr>
            <w:tcW w:w="2128" w:type="pct"/>
            <w:shd w:val="clear" w:color="auto" w:fill="auto"/>
          </w:tcPr>
          <w:p w14:paraId="76ADE831" w14:textId="77777777" w:rsidR="002A2422" w:rsidRDefault="003B3AD7">
            <w:pPr>
              <w:pStyle w:val="ad"/>
              <w:numPr>
                <w:ilvl w:val="0"/>
                <w:numId w:val="19"/>
              </w:numPr>
              <w:spacing w:line="240" w:lineRule="auto"/>
              <w:jc w:val="center"/>
              <w:rPr>
                <w:rFonts w:ascii="Calibri" w:eastAsia="Times New Roman" w:hAnsi="Calibri" w:cs="Calibri"/>
                <w:sz w:val="18"/>
                <w:szCs w:val="18"/>
              </w:rPr>
            </w:pPr>
            <w:r>
              <w:rPr>
                <w:rFonts w:ascii="Calibri" w:eastAsia="Times New Roman" w:hAnsi="Calibri" w:cs="Calibri"/>
                <w:sz w:val="18"/>
                <w:szCs w:val="18"/>
              </w:rPr>
              <w:t>Υποστηρικτικά εργαλεία για την οργάνωση/διαχείριση που δημιουργούνται ή αναβαθμίζονται</w:t>
            </w:r>
          </w:p>
          <w:p w14:paraId="08B1A4A7" w14:textId="77777777" w:rsidR="002A2422" w:rsidRDefault="003B3AD7">
            <w:pPr>
              <w:pStyle w:val="ad"/>
              <w:numPr>
                <w:ilvl w:val="0"/>
                <w:numId w:val="19"/>
              </w:numPr>
              <w:spacing w:line="240" w:lineRule="auto"/>
              <w:jc w:val="center"/>
              <w:rPr>
                <w:rFonts w:ascii="Calibri" w:eastAsia="Times New Roman" w:hAnsi="Calibri" w:cs="Calibri"/>
                <w:sz w:val="18"/>
                <w:szCs w:val="18"/>
              </w:rPr>
            </w:pPr>
            <w:r>
              <w:rPr>
                <w:rFonts w:ascii="Calibri" w:eastAsia="Times New Roman" w:hAnsi="Calibri" w:cs="Calibri"/>
                <w:sz w:val="18"/>
                <w:szCs w:val="18"/>
              </w:rPr>
              <w:t>Δικαιούχοι, φορείς που υποστηρίζονται</w:t>
            </w:r>
          </w:p>
          <w:p w14:paraId="22065018" w14:textId="77777777" w:rsidR="002A2422" w:rsidRDefault="003B3AD7">
            <w:pPr>
              <w:widowControl w:val="0"/>
              <w:autoSpaceDE w:val="0"/>
              <w:autoSpaceDN w:val="0"/>
              <w:adjustRightInd w:val="0"/>
              <w:spacing w:before="40" w:after="40"/>
              <w:ind w:left="318"/>
              <w:jc w:val="center"/>
              <w:rPr>
                <w:rFonts w:ascii="Calibri" w:eastAsia="Times New Roman" w:hAnsi="Calibri" w:cs="Calibri"/>
                <w:sz w:val="18"/>
                <w:szCs w:val="18"/>
              </w:rPr>
            </w:pPr>
            <w:r>
              <w:rPr>
                <w:rFonts w:ascii="Calibri" w:eastAsia="Times New Roman" w:hAnsi="Calibri" w:cs="Calibri"/>
                <w:sz w:val="18"/>
                <w:szCs w:val="18"/>
              </w:rPr>
              <w:t>Αριθμός επιχορηγούμενων φορέων</w:t>
            </w:r>
          </w:p>
        </w:tc>
      </w:tr>
      <w:tr w:rsidR="002A2422" w14:paraId="3C47F1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2" w:type="pct"/>
            <w:shd w:val="clear" w:color="auto" w:fill="auto"/>
          </w:tcPr>
          <w:p w14:paraId="6E3AFA14" w14:textId="77777777" w:rsidR="002A2422" w:rsidRDefault="003B3AD7">
            <w:pPr>
              <w:jc w:val="center"/>
              <w:rPr>
                <w:rFonts w:ascii="Calibri" w:eastAsia="Times New Roman" w:hAnsi="Calibri" w:cs="Calibri"/>
                <w:b/>
                <w:bCs/>
                <w:sz w:val="18"/>
                <w:szCs w:val="18"/>
              </w:rPr>
            </w:pPr>
            <w:r>
              <w:rPr>
                <w:rFonts w:ascii="Calibri" w:eastAsia="Calibri" w:hAnsi="Calibri" w:cs="Calibri"/>
                <w:b/>
                <w:bCs/>
                <w:sz w:val="18"/>
                <w:szCs w:val="18"/>
              </w:rPr>
              <w:t>Τεχνική Βοήθεια</w:t>
            </w:r>
          </w:p>
        </w:tc>
        <w:tc>
          <w:tcPr>
            <w:tcW w:w="1768" w:type="pct"/>
            <w:shd w:val="clear" w:color="auto" w:fill="auto"/>
          </w:tcPr>
          <w:p w14:paraId="6798CF98" w14:textId="77777777" w:rsidR="002A2422" w:rsidRDefault="003B3AD7">
            <w:pPr>
              <w:jc w:val="center"/>
              <w:rPr>
                <w:rFonts w:ascii="Calibri" w:hAnsi="Calibri" w:cs="Calibri"/>
                <w:b/>
                <w:bCs/>
                <w:sz w:val="18"/>
                <w:szCs w:val="18"/>
              </w:rPr>
            </w:pPr>
            <w:r>
              <w:rPr>
                <w:rFonts w:ascii="Calibri" w:hAnsi="Calibri" w:cs="Calibri"/>
                <w:b/>
                <w:bCs/>
                <w:sz w:val="18"/>
                <w:szCs w:val="18"/>
              </w:rPr>
              <w:t>6.2</w:t>
            </w:r>
          </w:p>
          <w:p w14:paraId="6C60DDA5" w14:textId="77777777" w:rsidR="002A2422" w:rsidRDefault="002A2422">
            <w:pPr>
              <w:autoSpaceDE w:val="0"/>
              <w:autoSpaceDN w:val="0"/>
              <w:adjustRightInd w:val="0"/>
              <w:jc w:val="center"/>
              <w:rPr>
                <w:rFonts w:ascii="Calibri" w:eastAsia="Times New Roman" w:hAnsi="Calibri" w:cs="Calibri"/>
                <w:b/>
                <w:bCs/>
                <w:sz w:val="18"/>
                <w:szCs w:val="18"/>
              </w:rPr>
            </w:pPr>
          </w:p>
        </w:tc>
        <w:tc>
          <w:tcPr>
            <w:tcW w:w="2128" w:type="pct"/>
            <w:shd w:val="clear" w:color="auto" w:fill="auto"/>
          </w:tcPr>
          <w:p w14:paraId="5B240491" w14:textId="77777777" w:rsidR="002A2422" w:rsidRDefault="003B3AD7">
            <w:pPr>
              <w:pStyle w:val="ad"/>
              <w:numPr>
                <w:ilvl w:val="0"/>
                <w:numId w:val="19"/>
              </w:numPr>
              <w:spacing w:line="240" w:lineRule="auto"/>
              <w:jc w:val="center"/>
              <w:rPr>
                <w:rFonts w:ascii="Calibri" w:eastAsia="Times New Roman" w:hAnsi="Calibri" w:cs="Calibri"/>
                <w:b/>
                <w:bCs/>
                <w:sz w:val="18"/>
                <w:szCs w:val="18"/>
              </w:rPr>
            </w:pPr>
            <w:r>
              <w:rPr>
                <w:rFonts w:ascii="Calibri" w:eastAsia="Times New Roman" w:hAnsi="Calibri" w:cs="Calibri"/>
                <w:sz w:val="18"/>
                <w:szCs w:val="18"/>
              </w:rPr>
              <w:t>Αριθμός εκδηλώσεων (ενέργειες ενημέρωσης και ευαισθητοποίησης)</w:t>
            </w:r>
          </w:p>
          <w:p w14:paraId="0FD011CF" w14:textId="77777777" w:rsidR="002A2422" w:rsidRDefault="003B3AD7">
            <w:pPr>
              <w:pStyle w:val="ad"/>
              <w:spacing w:line="240" w:lineRule="auto"/>
              <w:jc w:val="center"/>
              <w:rPr>
                <w:rFonts w:ascii="Calibri" w:eastAsia="Times New Roman" w:hAnsi="Calibri" w:cs="Calibri"/>
                <w:b/>
                <w:bCs/>
                <w:sz w:val="18"/>
                <w:szCs w:val="18"/>
              </w:rPr>
            </w:pPr>
            <w:r>
              <w:rPr>
                <w:rFonts w:ascii="Calibri" w:eastAsia="Times New Roman" w:hAnsi="Calibri" w:cs="Calibri"/>
                <w:sz w:val="18"/>
                <w:szCs w:val="18"/>
              </w:rPr>
              <w:t>Μελέτες, εμπειρογνωμοσύνες, έρευνες, αξιολογήσεις</w:t>
            </w:r>
          </w:p>
        </w:tc>
      </w:tr>
    </w:tbl>
    <w:p w14:paraId="2F0BFAF5" w14:textId="77777777" w:rsidR="002A2422" w:rsidRDefault="002A2422">
      <w:pPr>
        <w:rPr>
          <w:rFonts w:asciiTheme="minorHAnsi" w:hAnsiTheme="minorHAnsi" w:cstheme="minorHAnsi"/>
          <w:sz w:val="24"/>
          <w:szCs w:val="24"/>
        </w:rPr>
      </w:pPr>
    </w:p>
    <w:p w14:paraId="79A75F51" w14:textId="77777777" w:rsidR="002A2422" w:rsidRDefault="003B3AD7">
      <w:pPr>
        <w:pStyle w:val="3"/>
      </w:pPr>
      <w:bookmarkStart w:id="71" w:name="_Toc73665490"/>
      <w:r>
        <w:t>ΤΕΧΝΙΚΗ ΒΟΗΘΕΙΑ</w:t>
      </w:r>
      <w:bookmarkEnd w:id="71"/>
    </w:p>
    <w:p w14:paraId="2500B039" w14:textId="77777777" w:rsidR="002A2422" w:rsidRDefault="003B3AD7">
      <w:pPr>
        <w:rPr>
          <w:rFonts w:asciiTheme="minorHAnsi" w:hAnsiTheme="minorHAnsi"/>
          <w:sz w:val="24"/>
          <w:szCs w:val="24"/>
        </w:rPr>
      </w:pPr>
      <w:r>
        <w:rPr>
          <w:rFonts w:asciiTheme="minorHAnsi" w:hAnsiTheme="minorHAnsi"/>
          <w:sz w:val="24"/>
          <w:szCs w:val="24"/>
        </w:rPr>
        <w:t xml:space="preserve">Σύμφωνα με το άρθρο 134  του Ν. 4635/2019, οι ενέργειες Τεχνικής Βοήθειας αφορούν στον προγραμματισμό, τον σχεδιασμό, την προετοιμασία, τη διαχείριση, την παρακολούθηση, την αξιολόγηση, τη δημοσιότητα, την εφαρμογή και τον έλεγχο των προγραμμάτων του ΕΠΑ, καθώς και </w:t>
      </w:r>
      <w:r>
        <w:rPr>
          <w:rFonts w:asciiTheme="minorHAnsi" w:hAnsiTheme="minorHAnsi"/>
          <w:sz w:val="24"/>
          <w:szCs w:val="24"/>
        </w:rPr>
        <w:lastRenderedPageBreak/>
        <w:t>δραστηριότητες για την ενίσχυση της διοικητικής ικανότητας της Υπηρεσίας Συντονισμού, των Υπηρεσιών Διαχείρισης και των δικαιούχων για την υλοποίηση των προγραμμάτων. Ιδιαίτερα εστιάζουν στην προμήθεια αγαθών και τη λήψη υπηρεσιών, στην κάλυψη δαπανών, καθώς και σε κάθε άλλη απαραίτητη δαπάνη που αποσκοπεί στην ενίσχυση της υλοποίησης των στόχων και των προγραμμάτων του ΕΠΑ.</w:t>
      </w:r>
    </w:p>
    <w:p w14:paraId="26752FAF" w14:textId="77777777" w:rsidR="002A2422" w:rsidRDefault="002A2422">
      <w:pPr>
        <w:rPr>
          <w:rFonts w:asciiTheme="minorHAnsi" w:hAnsiTheme="minorHAnsi"/>
          <w:sz w:val="24"/>
          <w:szCs w:val="24"/>
        </w:rPr>
      </w:pPr>
    </w:p>
    <w:p w14:paraId="78B31028" w14:textId="77777777" w:rsidR="002A2422" w:rsidRDefault="003B3AD7">
      <w:pPr>
        <w:rPr>
          <w:rFonts w:asciiTheme="minorHAnsi" w:hAnsiTheme="minorHAnsi"/>
          <w:sz w:val="24"/>
          <w:szCs w:val="24"/>
        </w:rPr>
      </w:pPr>
      <w:r>
        <w:rPr>
          <w:rFonts w:asciiTheme="minorHAnsi" w:hAnsiTheme="minorHAnsi"/>
          <w:sz w:val="24"/>
          <w:szCs w:val="24"/>
        </w:rPr>
        <w:t>Οι ενέργειες Τεχνικής Βοήθειας χρηματοδοτούνται από εθνικούς πόρους μέσω του Προϋπολογισμού Δημοσίων Επενδύσεων, ανερχόμενες ως ποσοστό μέχρι το 1% των συνολικών πιστώσεων του ΕΠΑ. Ο προϋπολογισμός του αντίστοιχου άξονα προτεραιότητας των επιμέρους προγραμμάτων του ΕΠΑ καθορίζεται ως ποσοστό μέχρι 1% των συνολικών πιστώσεών τους.</w:t>
      </w:r>
    </w:p>
    <w:p w14:paraId="087FC898" w14:textId="77777777" w:rsidR="002A2422" w:rsidRDefault="003B3AD7">
      <w:pPr>
        <w:rPr>
          <w:rFonts w:asciiTheme="minorHAnsi" w:hAnsiTheme="minorHAnsi"/>
          <w:sz w:val="24"/>
          <w:szCs w:val="24"/>
        </w:rPr>
      </w:pPr>
      <w:r>
        <w:rPr>
          <w:rFonts w:asciiTheme="minorHAnsi" w:hAnsiTheme="minorHAnsi"/>
          <w:sz w:val="24"/>
          <w:szCs w:val="24"/>
        </w:rPr>
        <w:t xml:space="preserve">Η τεχνική βοήθεια του Τομεακού Προγράμματος Ανάπτυξης του ΥΠΠΟΑ, λαμβάνει υπόψη τις εφαρμογές και δράσεις που απαιτούνται για την υλοποίηση των ειδικότερων στόχων και προτεραιοτήτων. Συγκεκριμένα, τις ενέργειες που εκκινούν από τη διαμόρφωση, την ανάπτυξη και τη λειτουργία του ρυθμιστικού πλαισίου, μέχρι την υλοποίηση διαδικασιών και την εφαρμογή συστημάτων διαχείρισης, θέτει την Υπηρεσία Διαχείρισης του ΥΠΠΟΑ αντιμέτωπη με αυξημένες ανάγκες και προκλήσεις. Η Τεχνική Βοήθεια περιλαμβάνει δραστηριότητες κατάλληλης στελέχωσης, άντλησης τεχνογνωσίας, κτήσης εξοπλισμού, ενεργειών δημοσιότητας, ενημέρωσης και εκπαίδευσης στελεχών, με σκοπό την επαρκή υποστήριξη των </w:t>
      </w:r>
      <w:proofErr w:type="spellStart"/>
      <w:r>
        <w:rPr>
          <w:rFonts w:asciiTheme="minorHAnsi" w:hAnsiTheme="minorHAnsi"/>
          <w:sz w:val="24"/>
          <w:szCs w:val="24"/>
        </w:rPr>
        <w:t>τεθέντων</w:t>
      </w:r>
      <w:proofErr w:type="spellEnd"/>
      <w:r>
        <w:rPr>
          <w:rFonts w:asciiTheme="minorHAnsi" w:hAnsiTheme="minorHAnsi"/>
          <w:sz w:val="24"/>
          <w:szCs w:val="24"/>
        </w:rPr>
        <w:t xml:space="preserve"> στόχων από όλο το εύρος των εμπλεκομένων. Επιπλέον, μεριμνά για την ανάπτυξη και λειτουργία των απαραίτητων στοιχείων που αποσκοπούν στην ενίσχυση της διοικητικής ικανότητας των υπηρεσιών διαχείρισης και των δικαιούχων.</w:t>
      </w:r>
    </w:p>
    <w:p w14:paraId="293F1EA6" w14:textId="77777777" w:rsidR="002A2422" w:rsidRDefault="003B3AD7">
      <w:pPr>
        <w:rPr>
          <w:rFonts w:asciiTheme="minorHAnsi" w:hAnsiTheme="minorHAnsi"/>
          <w:sz w:val="24"/>
          <w:szCs w:val="24"/>
        </w:rPr>
      </w:pPr>
      <w:r>
        <w:rPr>
          <w:rFonts w:asciiTheme="minorHAnsi" w:hAnsiTheme="minorHAnsi"/>
          <w:sz w:val="24"/>
          <w:szCs w:val="24"/>
        </w:rPr>
        <w:t>Οι φορείς υλοποίησης έργων του ΤΠΑ μπορούν με τη συνδρομή άλλων νομικών προσώπων που σύμφωνα με τη νομοθεσία και το ρυθμιστικό τους πλαίσιο έχουν ως αποστολή την ενίσχυση της δημόσιας διοίκησης, σε θέματα συμβουλευτικής και τεχνικής υποστήριξης, στελέχωσης και εκπαίδευσης του προσωπικού, τη μεταφορά τεχνογνωσίας, εκπόνησης μελετών και διαχείρισης κονδυλίων. Δίνεται υπό προϋποθέσεις η δυνατότητα υλοποίησης συγκεκριμένων δράσεων - έργων που χρηματοδοτούνται από το ΤΠΑ. Τέλος, το ΥΠΠΟΑ θα είναι σε θέση, εφόσον απαιτηθεί, να πραγματοποιεί περιοδικές επενδυτικές και άλλες δαπάνες, αναγκαίες για τη διασφάλιση της επάρκειας και λειτουργικότητας των υπηρεσιών του.</w:t>
      </w:r>
    </w:p>
    <w:p w14:paraId="75879F51" w14:textId="77777777" w:rsidR="002A2422" w:rsidRDefault="002A2422">
      <w:pPr>
        <w:rPr>
          <w:rFonts w:asciiTheme="minorHAnsi" w:hAnsiTheme="minorHAnsi" w:cstheme="minorHAnsi"/>
          <w:sz w:val="24"/>
          <w:szCs w:val="24"/>
        </w:rPr>
      </w:pPr>
    </w:p>
    <w:p w14:paraId="6EF7DE89" w14:textId="77777777" w:rsidR="002A2422" w:rsidRDefault="002A2422">
      <w:pPr>
        <w:rPr>
          <w:rFonts w:asciiTheme="minorHAnsi" w:hAnsiTheme="minorHAnsi" w:cstheme="minorHAnsi"/>
          <w:sz w:val="24"/>
          <w:szCs w:val="24"/>
        </w:rPr>
      </w:pPr>
    </w:p>
    <w:p w14:paraId="36210E34" w14:textId="77777777" w:rsidR="002A2422" w:rsidRDefault="003B3AD7">
      <w:pPr>
        <w:pStyle w:val="1"/>
      </w:pPr>
      <w:bookmarkStart w:id="72" w:name="_Toc73665491"/>
      <w:r>
        <w:lastRenderedPageBreak/>
        <w:t>Προϋπολογισμός Προγράμματος</w:t>
      </w:r>
      <w:bookmarkEnd w:id="72"/>
    </w:p>
    <w:p w14:paraId="2D2AB20A" w14:textId="77777777" w:rsidR="002A2422" w:rsidRDefault="002A2422"/>
    <w:p w14:paraId="59FCF89B" w14:textId="77777777" w:rsidR="002A2422" w:rsidRDefault="003B3AD7">
      <w:pPr>
        <w:rPr>
          <w:rFonts w:asciiTheme="minorHAnsi" w:hAnsiTheme="minorHAnsi" w:cstheme="minorHAnsi"/>
        </w:rPr>
      </w:pPr>
      <w:r>
        <w:rPr>
          <w:rFonts w:asciiTheme="minorHAnsi" w:hAnsiTheme="minorHAnsi" w:cstheme="minorHAnsi"/>
        </w:rPr>
        <w:t>Ο συνολικός Π/Υ του προγράμματος του ΥΠΠΟΑ ανέρχεται στα 150 εκ ευρώ για την πενταετία 2021 – 2025. Αναλυτικά, για τον Τομέα Πολιτισμού, κατανέμεται ως εξής:</w:t>
      </w:r>
    </w:p>
    <w:p w14:paraId="58DA3D61" w14:textId="77777777" w:rsidR="002A2422" w:rsidRDefault="002A2422">
      <w:pPr>
        <w:rPr>
          <w:rFonts w:asciiTheme="minorHAnsi" w:hAnsiTheme="minorHAnsi" w:cstheme="minorHAnsi"/>
          <w:sz w:val="24"/>
          <w:szCs w:val="24"/>
        </w:rPr>
      </w:pPr>
    </w:p>
    <w:p w14:paraId="4771A1BB" w14:textId="77777777" w:rsidR="002A2422" w:rsidRDefault="003B3AD7">
      <w:r>
        <w:object w:dxaOrig="9412" w:dyaOrig="9535" w14:anchorId="1FC3A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75pt;height:477.05pt" o:ole="">
            <v:imagedata r:id="rId31" o:title=""/>
            <o:lock v:ext="edit" aspectratio="f"/>
          </v:shape>
          <o:OLEObject Type="Embed" ProgID="Excel.Sheet.12" ShapeID="_x0000_i1025" DrawAspect="Content" ObjectID="_1688364440" r:id="rId32"/>
        </w:object>
      </w:r>
    </w:p>
    <w:p w14:paraId="6D56678F" w14:textId="77777777" w:rsidR="002A2422" w:rsidRDefault="002A2422"/>
    <w:p w14:paraId="26CFD6FB" w14:textId="77777777" w:rsidR="002A2422" w:rsidRDefault="003B3AD7">
      <w:pPr>
        <w:pStyle w:val="1"/>
      </w:pPr>
      <w:bookmarkStart w:id="73" w:name="_Toc73665492"/>
      <w:r>
        <w:t>Συμβολή του ΤΠΑ στην εφαρμογή δημόσιων πολιτικών</w:t>
      </w:r>
      <w:bookmarkEnd w:id="73"/>
    </w:p>
    <w:p w14:paraId="0E7722BE" w14:textId="77777777" w:rsidR="002A2422" w:rsidRDefault="003B3AD7">
      <w:pPr>
        <w:rPr>
          <w:rFonts w:asciiTheme="minorHAnsi" w:hAnsiTheme="minorHAnsi" w:cstheme="minorHAnsi"/>
          <w:sz w:val="24"/>
          <w:szCs w:val="24"/>
        </w:rPr>
      </w:pPr>
      <w:r>
        <w:rPr>
          <w:rFonts w:asciiTheme="minorHAnsi" w:hAnsiTheme="minorHAnsi" w:cstheme="minorHAnsi"/>
          <w:sz w:val="24"/>
          <w:szCs w:val="24"/>
        </w:rPr>
        <w:t xml:space="preserve">Η συμβατότητα του ΤΠΑ του ΥΠΠΟΑ με το ΕΠΑ προκύπτει εκ των πραγμάτων από την προσέγγιση στον σχεδιασμό του βάσει στόχων και προτεραιοτήτων. Σύμφωνα με τις προδιαγραφές κατάρτισης </w:t>
      </w:r>
      <w:r>
        <w:rPr>
          <w:rFonts w:asciiTheme="minorHAnsi" w:hAnsiTheme="minorHAnsi" w:cstheme="minorHAnsi"/>
          <w:sz w:val="24"/>
          <w:szCs w:val="24"/>
        </w:rPr>
        <w:lastRenderedPageBreak/>
        <w:t>του ΤΠΑ οι άξονες προτεραιότητας ταυτίζονται με τις προτεραιότητες του ΕΠΑ, ενώ οι ειδικοί αναπτυξιακοί στόχοι του αφορούν στην εξειδίκευση των ειδικών στόχων του ΕΠΑ. Κατ’ αυτόν τον τρόπο συσχετίζονται οι άξονες προτεραιότητας, οι ειδικοί αναπτυξιακοί στόχοι και οι προτεινόμενες κατηγορίες παρεμβάσεων με τους αναπτυξιακούς και ειδικούς στόχους του ΕΠΑ.</w:t>
      </w:r>
    </w:p>
    <w:p w14:paraId="0B7C9869" w14:textId="77777777" w:rsidR="002A2422" w:rsidRDefault="003B3AD7">
      <w:pPr>
        <w:rPr>
          <w:rFonts w:asciiTheme="minorHAnsi" w:hAnsiTheme="minorHAnsi" w:cstheme="minorHAnsi"/>
          <w:sz w:val="24"/>
          <w:szCs w:val="24"/>
        </w:rPr>
      </w:pPr>
      <w:r>
        <w:rPr>
          <w:rFonts w:asciiTheme="minorHAnsi" w:hAnsiTheme="minorHAnsi" w:cstheme="minorHAnsi"/>
          <w:sz w:val="24"/>
          <w:szCs w:val="24"/>
        </w:rPr>
        <w:t>Η στρατηγική του ΤΠΑ του ΥΠΠΟΑ είναι πλήρως συμβατή:</w:t>
      </w:r>
    </w:p>
    <w:p w14:paraId="45EFAF43" w14:textId="77777777" w:rsidR="002A2422" w:rsidRDefault="003B3AD7">
      <w:pPr>
        <w:pStyle w:val="ad"/>
        <w:numPr>
          <w:ilvl w:val="0"/>
          <w:numId w:val="23"/>
        </w:numPr>
        <w:rPr>
          <w:rFonts w:asciiTheme="minorHAnsi" w:hAnsiTheme="minorHAnsi" w:cstheme="minorHAnsi"/>
          <w:sz w:val="24"/>
          <w:szCs w:val="24"/>
        </w:rPr>
      </w:pPr>
      <w:r>
        <w:rPr>
          <w:rFonts w:asciiTheme="minorHAnsi" w:hAnsiTheme="minorHAnsi" w:cstheme="minorHAnsi"/>
          <w:sz w:val="24"/>
          <w:szCs w:val="24"/>
        </w:rPr>
        <w:t>με τις κατευθύνσεις του Σχεδίου Ανάπτυξης για την Ελληνική Οικονομία,</w:t>
      </w:r>
    </w:p>
    <w:p w14:paraId="1723833F" w14:textId="77777777" w:rsidR="002A2422" w:rsidRDefault="003B3AD7">
      <w:pPr>
        <w:pStyle w:val="ad"/>
        <w:numPr>
          <w:ilvl w:val="0"/>
          <w:numId w:val="23"/>
        </w:numPr>
        <w:rPr>
          <w:rFonts w:asciiTheme="minorHAnsi" w:hAnsiTheme="minorHAnsi" w:cstheme="minorHAnsi"/>
          <w:sz w:val="24"/>
          <w:szCs w:val="24"/>
        </w:rPr>
      </w:pPr>
      <w:r>
        <w:rPr>
          <w:rFonts w:asciiTheme="minorHAnsi" w:hAnsiTheme="minorHAnsi" w:cstheme="minorHAnsi"/>
          <w:sz w:val="24"/>
          <w:szCs w:val="24"/>
        </w:rPr>
        <w:t>με τις κατευθύνσεις της νέας Προγραμματικής Περιόδου 2021-2027 όπως έχουν προταθεί από την Ευρωπαϊκή Επιτροπή και περιλαμβάνονται στο προσχέδιο του ΕΣΠΑ,</w:t>
      </w:r>
    </w:p>
    <w:p w14:paraId="486EBC90" w14:textId="77777777" w:rsidR="002A2422" w:rsidRDefault="002A2422">
      <w:pPr>
        <w:rPr>
          <w:rFonts w:asciiTheme="minorHAnsi" w:hAnsiTheme="minorHAnsi" w:cstheme="minorHAnsi"/>
          <w:b/>
          <w:bCs/>
          <w:sz w:val="24"/>
          <w:szCs w:val="24"/>
        </w:rPr>
      </w:pPr>
    </w:p>
    <w:p w14:paraId="5B44AE63" w14:textId="77777777" w:rsidR="002A2422" w:rsidRDefault="003B3AD7">
      <w:pPr>
        <w:rPr>
          <w:rFonts w:asciiTheme="minorHAnsi" w:hAnsiTheme="minorHAnsi" w:cstheme="minorHAnsi"/>
          <w:b/>
          <w:bCs/>
          <w:sz w:val="24"/>
          <w:szCs w:val="24"/>
        </w:rPr>
      </w:pPr>
      <w:r>
        <w:rPr>
          <w:rFonts w:asciiTheme="minorHAnsi" w:hAnsiTheme="minorHAnsi" w:cstheme="minorHAnsi"/>
          <w:b/>
          <w:bCs/>
          <w:sz w:val="24"/>
          <w:szCs w:val="24"/>
        </w:rPr>
        <w:t>Συμπληρωματικότητα με Πολιτικές Ευρωπαϊκών Ταμείων/Οργάνων</w:t>
      </w:r>
    </w:p>
    <w:p w14:paraId="74E2F024" w14:textId="77777777" w:rsidR="002A2422" w:rsidRDefault="003B3AD7">
      <w:pPr>
        <w:pStyle w:val="a4"/>
        <w:spacing w:line="360" w:lineRule="auto"/>
        <w:ind w:left="0" w:right="688"/>
        <w:rPr>
          <w:rFonts w:asciiTheme="minorHAnsi" w:hAnsiTheme="minorHAnsi" w:cstheme="minorHAnsi"/>
          <w:sz w:val="24"/>
          <w:szCs w:val="24"/>
        </w:rPr>
      </w:pPr>
      <w:r>
        <w:rPr>
          <w:rFonts w:asciiTheme="minorHAnsi" w:hAnsiTheme="minorHAnsi" w:cstheme="minorHAnsi"/>
          <w:sz w:val="24"/>
          <w:szCs w:val="24"/>
        </w:rPr>
        <w:t>Βάσει</w:t>
      </w:r>
      <w:r>
        <w:rPr>
          <w:rFonts w:asciiTheme="minorHAnsi" w:hAnsiTheme="minorHAnsi" w:cstheme="minorHAnsi"/>
          <w:spacing w:val="1"/>
          <w:sz w:val="24"/>
          <w:szCs w:val="24"/>
        </w:rPr>
        <w:t xml:space="preserve"> </w:t>
      </w:r>
      <w:r>
        <w:rPr>
          <w:rFonts w:asciiTheme="minorHAnsi" w:hAnsiTheme="minorHAnsi" w:cstheme="minorHAnsi"/>
          <w:sz w:val="24"/>
          <w:szCs w:val="24"/>
        </w:rPr>
        <w:t>και</w:t>
      </w:r>
      <w:r>
        <w:rPr>
          <w:rFonts w:asciiTheme="minorHAnsi" w:hAnsiTheme="minorHAnsi" w:cstheme="minorHAnsi"/>
          <w:spacing w:val="1"/>
          <w:sz w:val="24"/>
          <w:szCs w:val="24"/>
        </w:rPr>
        <w:t xml:space="preserve"> </w:t>
      </w:r>
      <w:r>
        <w:rPr>
          <w:rFonts w:asciiTheme="minorHAnsi" w:hAnsiTheme="minorHAnsi" w:cstheme="minorHAnsi"/>
          <w:sz w:val="24"/>
          <w:szCs w:val="24"/>
        </w:rPr>
        <w:t>των</w:t>
      </w:r>
      <w:r>
        <w:rPr>
          <w:rFonts w:asciiTheme="minorHAnsi" w:hAnsiTheme="minorHAnsi" w:cstheme="minorHAnsi"/>
          <w:spacing w:val="1"/>
          <w:sz w:val="24"/>
          <w:szCs w:val="24"/>
        </w:rPr>
        <w:t xml:space="preserve"> </w:t>
      </w:r>
      <w:r>
        <w:rPr>
          <w:rFonts w:asciiTheme="minorHAnsi" w:hAnsiTheme="minorHAnsi" w:cstheme="minorHAnsi"/>
          <w:sz w:val="24"/>
          <w:szCs w:val="24"/>
        </w:rPr>
        <w:t>διατάξεων</w:t>
      </w:r>
      <w:r>
        <w:rPr>
          <w:rFonts w:asciiTheme="minorHAnsi" w:hAnsiTheme="minorHAnsi" w:cstheme="minorHAnsi"/>
          <w:spacing w:val="1"/>
          <w:sz w:val="24"/>
          <w:szCs w:val="24"/>
        </w:rPr>
        <w:t xml:space="preserve"> </w:t>
      </w:r>
      <w:r>
        <w:rPr>
          <w:rFonts w:asciiTheme="minorHAnsi" w:hAnsiTheme="minorHAnsi" w:cstheme="minorHAnsi"/>
          <w:sz w:val="24"/>
          <w:szCs w:val="24"/>
        </w:rPr>
        <w:t>που</w:t>
      </w:r>
      <w:r>
        <w:rPr>
          <w:rFonts w:asciiTheme="minorHAnsi" w:hAnsiTheme="minorHAnsi" w:cstheme="minorHAnsi"/>
          <w:spacing w:val="1"/>
          <w:sz w:val="24"/>
          <w:szCs w:val="24"/>
        </w:rPr>
        <w:t xml:space="preserve"> </w:t>
      </w:r>
      <w:r>
        <w:rPr>
          <w:rFonts w:asciiTheme="minorHAnsi" w:hAnsiTheme="minorHAnsi" w:cstheme="minorHAnsi"/>
          <w:sz w:val="24"/>
          <w:szCs w:val="24"/>
        </w:rPr>
        <w:t>διέπουν</w:t>
      </w:r>
      <w:r>
        <w:rPr>
          <w:rFonts w:asciiTheme="minorHAnsi" w:hAnsiTheme="minorHAnsi" w:cstheme="minorHAnsi"/>
          <w:spacing w:val="1"/>
          <w:sz w:val="24"/>
          <w:szCs w:val="24"/>
        </w:rPr>
        <w:t xml:space="preserve"> </w:t>
      </w:r>
      <w:r>
        <w:rPr>
          <w:rFonts w:asciiTheme="minorHAnsi" w:hAnsiTheme="minorHAnsi" w:cstheme="minorHAnsi"/>
          <w:sz w:val="24"/>
          <w:szCs w:val="24"/>
        </w:rPr>
        <w:t>το</w:t>
      </w:r>
      <w:r>
        <w:rPr>
          <w:rFonts w:asciiTheme="minorHAnsi" w:hAnsiTheme="minorHAnsi" w:cstheme="minorHAnsi"/>
          <w:spacing w:val="1"/>
          <w:sz w:val="24"/>
          <w:szCs w:val="24"/>
        </w:rPr>
        <w:t xml:space="preserve"> </w:t>
      </w:r>
      <w:r>
        <w:rPr>
          <w:rFonts w:asciiTheme="minorHAnsi" w:hAnsiTheme="minorHAnsi" w:cstheme="minorHAnsi"/>
          <w:sz w:val="24"/>
          <w:szCs w:val="24"/>
        </w:rPr>
        <w:t>ΕΠΑ,</w:t>
      </w:r>
      <w:r>
        <w:rPr>
          <w:rFonts w:asciiTheme="minorHAnsi" w:hAnsiTheme="minorHAnsi" w:cstheme="minorHAnsi"/>
          <w:spacing w:val="1"/>
          <w:sz w:val="24"/>
          <w:szCs w:val="24"/>
        </w:rPr>
        <w:t xml:space="preserve"> </w:t>
      </w:r>
      <w:r>
        <w:rPr>
          <w:rFonts w:asciiTheme="minorHAnsi" w:hAnsiTheme="minorHAnsi" w:cstheme="minorHAnsi"/>
          <w:sz w:val="24"/>
          <w:szCs w:val="24"/>
        </w:rPr>
        <w:t>ο</w:t>
      </w:r>
      <w:r>
        <w:rPr>
          <w:rFonts w:asciiTheme="minorHAnsi" w:hAnsiTheme="minorHAnsi" w:cstheme="minorHAnsi"/>
          <w:spacing w:val="1"/>
          <w:sz w:val="24"/>
          <w:szCs w:val="24"/>
        </w:rPr>
        <w:t xml:space="preserve"> </w:t>
      </w:r>
      <w:r>
        <w:rPr>
          <w:rFonts w:asciiTheme="minorHAnsi" w:hAnsiTheme="minorHAnsi" w:cstheme="minorHAnsi"/>
          <w:sz w:val="24"/>
          <w:szCs w:val="24"/>
        </w:rPr>
        <w:t>σχεδιασμός</w:t>
      </w:r>
      <w:r>
        <w:rPr>
          <w:rFonts w:asciiTheme="minorHAnsi" w:hAnsiTheme="minorHAnsi" w:cstheme="minorHAnsi"/>
          <w:spacing w:val="1"/>
          <w:sz w:val="24"/>
          <w:szCs w:val="24"/>
        </w:rPr>
        <w:t xml:space="preserve"> </w:t>
      </w:r>
      <w:r>
        <w:rPr>
          <w:rFonts w:asciiTheme="minorHAnsi" w:hAnsiTheme="minorHAnsi" w:cstheme="minorHAnsi"/>
          <w:sz w:val="24"/>
          <w:szCs w:val="24"/>
        </w:rPr>
        <w:t>διέπεται</w:t>
      </w:r>
      <w:r>
        <w:rPr>
          <w:rFonts w:asciiTheme="minorHAnsi" w:hAnsiTheme="minorHAnsi" w:cstheme="minorHAnsi"/>
          <w:spacing w:val="1"/>
          <w:sz w:val="24"/>
          <w:szCs w:val="24"/>
        </w:rPr>
        <w:t xml:space="preserve"> </w:t>
      </w:r>
      <w:r>
        <w:rPr>
          <w:rFonts w:asciiTheme="minorHAnsi" w:hAnsiTheme="minorHAnsi" w:cstheme="minorHAnsi"/>
          <w:sz w:val="24"/>
          <w:szCs w:val="24"/>
        </w:rPr>
        <w:t>από</w:t>
      </w:r>
      <w:r>
        <w:rPr>
          <w:rFonts w:asciiTheme="minorHAnsi" w:hAnsiTheme="minorHAnsi" w:cstheme="minorHAnsi"/>
          <w:spacing w:val="1"/>
          <w:sz w:val="24"/>
          <w:szCs w:val="24"/>
        </w:rPr>
        <w:t xml:space="preserve"> </w:t>
      </w:r>
      <w:r>
        <w:rPr>
          <w:rFonts w:asciiTheme="minorHAnsi" w:hAnsiTheme="minorHAnsi" w:cstheme="minorHAnsi"/>
          <w:sz w:val="24"/>
          <w:szCs w:val="24"/>
        </w:rPr>
        <w:t>τις</w:t>
      </w:r>
      <w:r>
        <w:rPr>
          <w:rFonts w:asciiTheme="minorHAnsi" w:hAnsiTheme="minorHAnsi" w:cstheme="minorHAnsi"/>
          <w:spacing w:val="1"/>
          <w:sz w:val="24"/>
          <w:szCs w:val="24"/>
        </w:rPr>
        <w:t xml:space="preserve"> </w:t>
      </w:r>
      <w:r>
        <w:rPr>
          <w:rFonts w:asciiTheme="minorHAnsi" w:hAnsiTheme="minorHAnsi" w:cstheme="minorHAnsi"/>
          <w:sz w:val="24"/>
          <w:szCs w:val="24"/>
        </w:rPr>
        <w:t>αρχές</w:t>
      </w:r>
      <w:r>
        <w:rPr>
          <w:rFonts w:asciiTheme="minorHAnsi" w:hAnsiTheme="minorHAnsi" w:cstheme="minorHAnsi"/>
          <w:spacing w:val="1"/>
          <w:sz w:val="24"/>
          <w:szCs w:val="24"/>
        </w:rPr>
        <w:t xml:space="preserve"> </w:t>
      </w:r>
      <w:r>
        <w:rPr>
          <w:rFonts w:asciiTheme="minorHAnsi" w:hAnsiTheme="minorHAnsi" w:cstheme="minorHAnsi"/>
          <w:sz w:val="24"/>
          <w:szCs w:val="24"/>
        </w:rPr>
        <w:t>της</w:t>
      </w:r>
      <w:r>
        <w:rPr>
          <w:rFonts w:asciiTheme="minorHAnsi" w:hAnsiTheme="minorHAnsi" w:cstheme="minorHAnsi"/>
          <w:spacing w:val="1"/>
          <w:sz w:val="24"/>
          <w:szCs w:val="24"/>
        </w:rPr>
        <w:t xml:space="preserve"> </w:t>
      </w:r>
      <w:r>
        <w:rPr>
          <w:rFonts w:asciiTheme="minorHAnsi" w:hAnsiTheme="minorHAnsi" w:cstheme="minorHAnsi"/>
          <w:sz w:val="24"/>
          <w:szCs w:val="24"/>
        </w:rPr>
        <w:t>συμπληρωματικότητας</w:t>
      </w:r>
      <w:r>
        <w:rPr>
          <w:rFonts w:asciiTheme="minorHAnsi" w:hAnsiTheme="minorHAnsi" w:cstheme="minorHAnsi"/>
          <w:spacing w:val="1"/>
          <w:sz w:val="24"/>
          <w:szCs w:val="24"/>
        </w:rPr>
        <w:t xml:space="preserve"> </w:t>
      </w:r>
      <w:r>
        <w:rPr>
          <w:rFonts w:asciiTheme="minorHAnsi" w:hAnsiTheme="minorHAnsi" w:cstheme="minorHAnsi"/>
          <w:sz w:val="24"/>
          <w:szCs w:val="24"/>
        </w:rPr>
        <w:t>προς</w:t>
      </w:r>
      <w:r>
        <w:rPr>
          <w:rFonts w:asciiTheme="minorHAnsi" w:hAnsiTheme="minorHAnsi" w:cstheme="minorHAnsi"/>
          <w:spacing w:val="1"/>
          <w:sz w:val="24"/>
          <w:szCs w:val="24"/>
        </w:rPr>
        <w:t xml:space="preserve"> </w:t>
      </w:r>
      <w:r>
        <w:rPr>
          <w:rFonts w:asciiTheme="minorHAnsi" w:hAnsiTheme="minorHAnsi" w:cstheme="minorHAnsi"/>
          <w:sz w:val="24"/>
          <w:szCs w:val="24"/>
        </w:rPr>
        <w:t>τις</w:t>
      </w:r>
      <w:r>
        <w:rPr>
          <w:rFonts w:asciiTheme="minorHAnsi" w:hAnsiTheme="minorHAnsi" w:cstheme="minorHAnsi"/>
          <w:spacing w:val="1"/>
          <w:sz w:val="24"/>
          <w:szCs w:val="24"/>
        </w:rPr>
        <w:t xml:space="preserve"> </w:t>
      </w:r>
      <w:r>
        <w:rPr>
          <w:rFonts w:asciiTheme="minorHAnsi" w:hAnsiTheme="minorHAnsi" w:cstheme="minorHAnsi"/>
          <w:sz w:val="24"/>
          <w:szCs w:val="24"/>
        </w:rPr>
        <w:t>συγχρηματοδοτούμενες</w:t>
      </w:r>
      <w:r>
        <w:rPr>
          <w:rFonts w:asciiTheme="minorHAnsi" w:hAnsiTheme="minorHAnsi" w:cstheme="minorHAnsi"/>
          <w:spacing w:val="1"/>
          <w:sz w:val="24"/>
          <w:szCs w:val="24"/>
        </w:rPr>
        <w:t xml:space="preserve"> </w:t>
      </w:r>
      <w:r>
        <w:rPr>
          <w:rFonts w:asciiTheme="minorHAnsi" w:hAnsiTheme="minorHAnsi" w:cstheme="minorHAnsi"/>
          <w:sz w:val="24"/>
          <w:szCs w:val="24"/>
        </w:rPr>
        <w:t>από</w:t>
      </w:r>
      <w:r>
        <w:rPr>
          <w:rFonts w:asciiTheme="minorHAnsi" w:hAnsiTheme="minorHAnsi" w:cstheme="minorHAnsi"/>
          <w:spacing w:val="1"/>
          <w:sz w:val="24"/>
          <w:szCs w:val="24"/>
        </w:rPr>
        <w:t xml:space="preserve"> </w:t>
      </w:r>
      <w:r>
        <w:rPr>
          <w:rFonts w:asciiTheme="minorHAnsi" w:hAnsiTheme="minorHAnsi" w:cstheme="minorHAnsi"/>
          <w:sz w:val="24"/>
          <w:szCs w:val="24"/>
        </w:rPr>
        <w:t>την</w:t>
      </w:r>
      <w:r>
        <w:rPr>
          <w:rFonts w:asciiTheme="minorHAnsi" w:hAnsiTheme="minorHAnsi" w:cstheme="minorHAnsi"/>
          <w:spacing w:val="1"/>
          <w:sz w:val="24"/>
          <w:szCs w:val="24"/>
        </w:rPr>
        <w:t xml:space="preserve"> </w:t>
      </w:r>
      <w:r>
        <w:rPr>
          <w:rFonts w:asciiTheme="minorHAnsi" w:hAnsiTheme="minorHAnsi" w:cstheme="minorHAnsi"/>
          <w:sz w:val="24"/>
          <w:szCs w:val="24"/>
        </w:rPr>
        <w:t>Ευρωπαϊκή</w:t>
      </w:r>
      <w:r>
        <w:rPr>
          <w:rFonts w:asciiTheme="minorHAnsi" w:hAnsiTheme="minorHAnsi" w:cstheme="minorHAnsi"/>
          <w:spacing w:val="1"/>
          <w:sz w:val="24"/>
          <w:szCs w:val="24"/>
        </w:rPr>
        <w:t xml:space="preserve"> </w:t>
      </w:r>
      <w:r>
        <w:rPr>
          <w:rFonts w:asciiTheme="minorHAnsi" w:hAnsiTheme="minorHAnsi" w:cstheme="minorHAnsi"/>
          <w:sz w:val="24"/>
          <w:szCs w:val="24"/>
        </w:rPr>
        <w:t>Ένωση</w:t>
      </w:r>
      <w:r>
        <w:rPr>
          <w:rFonts w:asciiTheme="minorHAnsi" w:hAnsiTheme="minorHAnsi" w:cstheme="minorHAnsi"/>
          <w:spacing w:val="1"/>
          <w:sz w:val="24"/>
          <w:szCs w:val="24"/>
        </w:rPr>
        <w:t xml:space="preserve"> </w:t>
      </w:r>
      <w:r>
        <w:rPr>
          <w:rFonts w:asciiTheme="minorHAnsi" w:hAnsiTheme="minorHAnsi" w:cstheme="minorHAnsi"/>
          <w:sz w:val="24"/>
          <w:szCs w:val="24"/>
        </w:rPr>
        <w:t>παρεμβάσεις</w:t>
      </w:r>
      <w:r>
        <w:rPr>
          <w:rFonts w:asciiTheme="minorHAnsi" w:hAnsiTheme="minorHAnsi" w:cstheme="minorHAnsi"/>
          <w:spacing w:val="1"/>
          <w:sz w:val="24"/>
          <w:szCs w:val="24"/>
        </w:rPr>
        <w:t xml:space="preserve"> </w:t>
      </w:r>
      <w:r>
        <w:rPr>
          <w:rFonts w:asciiTheme="minorHAnsi" w:hAnsiTheme="minorHAnsi" w:cstheme="minorHAnsi"/>
          <w:sz w:val="24"/>
          <w:szCs w:val="24"/>
        </w:rPr>
        <w:t>και,</w:t>
      </w:r>
      <w:r>
        <w:rPr>
          <w:rFonts w:asciiTheme="minorHAnsi" w:hAnsiTheme="minorHAnsi" w:cstheme="minorHAnsi"/>
          <w:spacing w:val="-47"/>
          <w:sz w:val="24"/>
          <w:szCs w:val="24"/>
        </w:rPr>
        <w:t xml:space="preserve"> </w:t>
      </w:r>
      <w:r>
        <w:rPr>
          <w:rFonts w:asciiTheme="minorHAnsi" w:hAnsiTheme="minorHAnsi" w:cstheme="minorHAnsi"/>
          <w:sz w:val="24"/>
          <w:szCs w:val="24"/>
        </w:rPr>
        <w:t>επομένως, διενεργείται παράλληλα και σε κάθε περίπτωση λαμβάνει υπόψη του την πορεία εξέλιξης της</w:t>
      </w:r>
      <w:r>
        <w:rPr>
          <w:rFonts w:asciiTheme="minorHAnsi" w:hAnsiTheme="minorHAnsi" w:cstheme="minorHAnsi"/>
          <w:spacing w:val="1"/>
          <w:sz w:val="24"/>
          <w:szCs w:val="24"/>
        </w:rPr>
        <w:t xml:space="preserve"> </w:t>
      </w:r>
      <w:r>
        <w:rPr>
          <w:rFonts w:asciiTheme="minorHAnsi" w:hAnsiTheme="minorHAnsi" w:cstheme="minorHAnsi"/>
          <w:sz w:val="24"/>
          <w:szCs w:val="24"/>
        </w:rPr>
        <w:t>τρέχουσας</w:t>
      </w:r>
      <w:r>
        <w:rPr>
          <w:rFonts w:asciiTheme="minorHAnsi" w:hAnsiTheme="minorHAnsi" w:cstheme="minorHAnsi"/>
          <w:spacing w:val="1"/>
          <w:sz w:val="24"/>
          <w:szCs w:val="24"/>
        </w:rPr>
        <w:t xml:space="preserve"> </w:t>
      </w:r>
      <w:r>
        <w:rPr>
          <w:rFonts w:asciiTheme="minorHAnsi" w:hAnsiTheme="minorHAnsi" w:cstheme="minorHAnsi"/>
          <w:sz w:val="24"/>
          <w:szCs w:val="24"/>
        </w:rPr>
        <w:t>προγραμματικής</w:t>
      </w:r>
      <w:r>
        <w:rPr>
          <w:rFonts w:asciiTheme="minorHAnsi" w:hAnsiTheme="minorHAnsi" w:cstheme="minorHAnsi"/>
          <w:spacing w:val="1"/>
          <w:sz w:val="24"/>
          <w:szCs w:val="24"/>
        </w:rPr>
        <w:t xml:space="preserve"> </w:t>
      </w:r>
      <w:r>
        <w:rPr>
          <w:rFonts w:asciiTheme="minorHAnsi" w:hAnsiTheme="minorHAnsi" w:cstheme="minorHAnsi"/>
          <w:sz w:val="24"/>
          <w:szCs w:val="24"/>
        </w:rPr>
        <w:t>περιόδου</w:t>
      </w:r>
      <w:r>
        <w:rPr>
          <w:rFonts w:asciiTheme="minorHAnsi" w:hAnsiTheme="minorHAnsi" w:cstheme="minorHAnsi"/>
          <w:spacing w:val="1"/>
          <w:sz w:val="24"/>
          <w:szCs w:val="24"/>
        </w:rPr>
        <w:t xml:space="preserve"> </w:t>
      </w:r>
      <w:r>
        <w:rPr>
          <w:rFonts w:asciiTheme="minorHAnsi" w:hAnsiTheme="minorHAnsi" w:cstheme="minorHAnsi"/>
          <w:sz w:val="24"/>
          <w:szCs w:val="24"/>
        </w:rPr>
        <w:t>αλλά</w:t>
      </w:r>
      <w:r>
        <w:rPr>
          <w:rFonts w:asciiTheme="minorHAnsi" w:hAnsiTheme="minorHAnsi" w:cstheme="minorHAnsi"/>
          <w:spacing w:val="1"/>
          <w:sz w:val="24"/>
          <w:szCs w:val="24"/>
        </w:rPr>
        <w:t xml:space="preserve"> </w:t>
      </w:r>
      <w:r>
        <w:rPr>
          <w:rFonts w:asciiTheme="minorHAnsi" w:hAnsiTheme="minorHAnsi" w:cstheme="minorHAnsi"/>
          <w:sz w:val="24"/>
          <w:szCs w:val="24"/>
        </w:rPr>
        <w:t>και</w:t>
      </w:r>
      <w:r>
        <w:rPr>
          <w:rFonts w:asciiTheme="minorHAnsi" w:hAnsiTheme="minorHAnsi" w:cstheme="minorHAnsi"/>
          <w:spacing w:val="1"/>
          <w:sz w:val="24"/>
          <w:szCs w:val="24"/>
        </w:rPr>
        <w:t xml:space="preserve"> </w:t>
      </w:r>
      <w:r>
        <w:rPr>
          <w:rFonts w:asciiTheme="minorHAnsi" w:hAnsiTheme="minorHAnsi" w:cstheme="minorHAnsi"/>
          <w:sz w:val="24"/>
          <w:szCs w:val="24"/>
        </w:rPr>
        <w:t>τα</w:t>
      </w:r>
      <w:r>
        <w:rPr>
          <w:rFonts w:asciiTheme="minorHAnsi" w:hAnsiTheme="minorHAnsi" w:cstheme="minorHAnsi"/>
          <w:spacing w:val="1"/>
          <w:sz w:val="24"/>
          <w:szCs w:val="24"/>
        </w:rPr>
        <w:t xml:space="preserve"> </w:t>
      </w:r>
      <w:r>
        <w:rPr>
          <w:rFonts w:asciiTheme="minorHAnsi" w:hAnsiTheme="minorHAnsi" w:cstheme="minorHAnsi"/>
          <w:sz w:val="24"/>
          <w:szCs w:val="24"/>
        </w:rPr>
        <w:t>αποτελέσματα</w:t>
      </w:r>
      <w:r>
        <w:rPr>
          <w:rFonts w:asciiTheme="minorHAnsi" w:hAnsiTheme="minorHAnsi" w:cstheme="minorHAnsi"/>
          <w:spacing w:val="1"/>
          <w:sz w:val="24"/>
          <w:szCs w:val="24"/>
        </w:rPr>
        <w:t xml:space="preserve"> </w:t>
      </w:r>
      <w:r>
        <w:rPr>
          <w:rFonts w:asciiTheme="minorHAnsi" w:hAnsiTheme="minorHAnsi" w:cstheme="minorHAnsi"/>
          <w:sz w:val="24"/>
          <w:szCs w:val="24"/>
        </w:rPr>
        <w:t>της</w:t>
      </w:r>
      <w:r>
        <w:rPr>
          <w:rFonts w:asciiTheme="minorHAnsi" w:hAnsiTheme="minorHAnsi" w:cstheme="minorHAnsi"/>
          <w:spacing w:val="1"/>
          <w:sz w:val="24"/>
          <w:szCs w:val="24"/>
        </w:rPr>
        <w:t xml:space="preserve"> </w:t>
      </w:r>
      <w:r>
        <w:rPr>
          <w:rFonts w:asciiTheme="minorHAnsi" w:hAnsiTheme="minorHAnsi" w:cstheme="minorHAnsi"/>
          <w:sz w:val="24"/>
          <w:szCs w:val="24"/>
        </w:rPr>
        <w:t>διαδικασίας</w:t>
      </w:r>
      <w:r>
        <w:rPr>
          <w:rFonts w:asciiTheme="minorHAnsi" w:hAnsiTheme="minorHAnsi" w:cstheme="minorHAnsi"/>
          <w:spacing w:val="1"/>
          <w:sz w:val="24"/>
          <w:szCs w:val="24"/>
        </w:rPr>
        <w:t xml:space="preserve"> </w:t>
      </w:r>
      <w:r>
        <w:rPr>
          <w:rFonts w:asciiTheme="minorHAnsi" w:hAnsiTheme="minorHAnsi" w:cstheme="minorHAnsi"/>
          <w:sz w:val="24"/>
          <w:szCs w:val="24"/>
        </w:rPr>
        <w:t>σχεδιασμού</w:t>
      </w:r>
      <w:r>
        <w:rPr>
          <w:rFonts w:asciiTheme="minorHAnsi" w:hAnsiTheme="minorHAnsi" w:cstheme="minorHAnsi"/>
          <w:spacing w:val="1"/>
          <w:sz w:val="24"/>
          <w:szCs w:val="24"/>
        </w:rPr>
        <w:t xml:space="preserve"> </w:t>
      </w:r>
      <w:r>
        <w:rPr>
          <w:rFonts w:asciiTheme="minorHAnsi" w:hAnsiTheme="minorHAnsi" w:cstheme="minorHAnsi"/>
          <w:sz w:val="24"/>
          <w:szCs w:val="24"/>
        </w:rPr>
        <w:t>των</w:t>
      </w:r>
      <w:r>
        <w:rPr>
          <w:rFonts w:asciiTheme="minorHAnsi" w:hAnsiTheme="minorHAnsi" w:cstheme="minorHAnsi"/>
          <w:spacing w:val="1"/>
          <w:sz w:val="24"/>
          <w:szCs w:val="24"/>
        </w:rPr>
        <w:t xml:space="preserve"> </w:t>
      </w:r>
      <w:r>
        <w:rPr>
          <w:rFonts w:asciiTheme="minorHAnsi" w:hAnsiTheme="minorHAnsi" w:cstheme="minorHAnsi"/>
          <w:sz w:val="24"/>
          <w:szCs w:val="24"/>
        </w:rPr>
        <w:t>τομεακών</w:t>
      </w:r>
      <w:r>
        <w:rPr>
          <w:rFonts w:asciiTheme="minorHAnsi" w:hAnsiTheme="minorHAnsi" w:cstheme="minorHAnsi"/>
          <w:spacing w:val="-4"/>
          <w:sz w:val="24"/>
          <w:szCs w:val="24"/>
        </w:rPr>
        <w:t xml:space="preserve"> </w:t>
      </w:r>
      <w:r>
        <w:rPr>
          <w:rFonts w:asciiTheme="minorHAnsi" w:hAnsiTheme="minorHAnsi" w:cstheme="minorHAnsi"/>
          <w:sz w:val="24"/>
          <w:szCs w:val="24"/>
        </w:rPr>
        <w:t>και</w:t>
      </w:r>
      <w:r>
        <w:rPr>
          <w:rFonts w:asciiTheme="minorHAnsi" w:hAnsiTheme="minorHAnsi" w:cstheme="minorHAnsi"/>
          <w:spacing w:val="-3"/>
          <w:sz w:val="24"/>
          <w:szCs w:val="24"/>
        </w:rPr>
        <w:t xml:space="preserve"> </w:t>
      </w:r>
      <w:r>
        <w:rPr>
          <w:rFonts w:asciiTheme="minorHAnsi" w:hAnsiTheme="minorHAnsi" w:cstheme="minorHAnsi"/>
          <w:sz w:val="24"/>
          <w:szCs w:val="24"/>
        </w:rPr>
        <w:t>των</w:t>
      </w:r>
      <w:r>
        <w:rPr>
          <w:rFonts w:asciiTheme="minorHAnsi" w:hAnsiTheme="minorHAnsi" w:cstheme="minorHAnsi"/>
          <w:spacing w:val="-1"/>
          <w:sz w:val="24"/>
          <w:szCs w:val="24"/>
        </w:rPr>
        <w:t xml:space="preserve"> </w:t>
      </w:r>
      <w:r>
        <w:rPr>
          <w:rFonts w:asciiTheme="minorHAnsi" w:hAnsiTheme="minorHAnsi" w:cstheme="minorHAnsi"/>
          <w:sz w:val="24"/>
          <w:szCs w:val="24"/>
        </w:rPr>
        <w:t>περιφερειακών</w:t>
      </w:r>
      <w:r>
        <w:rPr>
          <w:rFonts w:asciiTheme="minorHAnsi" w:hAnsiTheme="minorHAnsi" w:cstheme="minorHAnsi"/>
          <w:spacing w:val="-1"/>
          <w:sz w:val="24"/>
          <w:szCs w:val="24"/>
        </w:rPr>
        <w:t xml:space="preserve"> </w:t>
      </w:r>
      <w:r>
        <w:rPr>
          <w:rFonts w:asciiTheme="minorHAnsi" w:hAnsiTheme="minorHAnsi" w:cstheme="minorHAnsi"/>
          <w:sz w:val="24"/>
          <w:szCs w:val="24"/>
        </w:rPr>
        <w:t>Επιχειρησιακών Προγραμμάτων</w:t>
      </w:r>
      <w:r>
        <w:rPr>
          <w:rFonts w:asciiTheme="minorHAnsi" w:hAnsiTheme="minorHAnsi" w:cstheme="minorHAnsi"/>
          <w:spacing w:val="-3"/>
          <w:sz w:val="24"/>
          <w:szCs w:val="24"/>
        </w:rPr>
        <w:t xml:space="preserve"> </w:t>
      </w:r>
      <w:r>
        <w:rPr>
          <w:rFonts w:asciiTheme="minorHAnsi" w:hAnsiTheme="minorHAnsi" w:cstheme="minorHAnsi"/>
          <w:sz w:val="24"/>
          <w:szCs w:val="24"/>
        </w:rPr>
        <w:t>του ΕΣΠΑ</w:t>
      </w:r>
      <w:r>
        <w:rPr>
          <w:rFonts w:asciiTheme="minorHAnsi" w:hAnsiTheme="minorHAnsi" w:cstheme="minorHAnsi"/>
          <w:spacing w:val="-3"/>
          <w:sz w:val="24"/>
          <w:szCs w:val="24"/>
        </w:rPr>
        <w:t xml:space="preserve"> </w:t>
      </w:r>
      <w:r>
        <w:rPr>
          <w:rFonts w:asciiTheme="minorHAnsi" w:hAnsiTheme="minorHAnsi" w:cstheme="minorHAnsi"/>
          <w:sz w:val="24"/>
          <w:szCs w:val="24"/>
        </w:rPr>
        <w:t>2021-2027.</w:t>
      </w:r>
    </w:p>
    <w:p w14:paraId="41238FA9" w14:textId="77777777" w:rsidR="002A2422" w:rsidRDefault="003B3AD7">
      <w:pPr>
        <w:pStyle w:val="a4"/>
        <w:spacing w:before="161" w:line="360" w:lineRule="auto"/>
        <w:ind w:left="0" w:right="688"/>
        <w:rPr>
          <w:rFonts w:asciiTheme="minorHAnsi" w:hAnsiTheme="minorHAnsi" w:cstheme="minorHAnsi"/>
          <w:sz w:val="24"/>
          <w:szCs w:val="24"/>
        </w:rPr>
      </w:pPr>
      <w:r>
        <w:rPr>
          <w:rFonts w:asciiTheme="minorHAnsi" w:hAnsiTheme="minorHAnsi" w:cstheme="minorHAnsi"/>
          <w:spacing w:val="-1"/>
          <w:sz w:val="24"/>
          <w:szCs w:val="24"/>
        </w:rPr>
        <w:t>Σε</w:t>
      </w:r>
      <w:r>
        <w:rPr>
          <w:rFonts w:asciiTheme="minorHAnsi" w:hAnsiTheme="minorHAnsi" w:cstheme="minorHAnsi"/>
          <w:spacing w:val="-10"/>
          <w:sz w:val="24"/>
          <w:szCs w:val="24"/>
        </w:rPr>
        <w:t xml:space="preserve"> </w:t>
      </w:r>
      <w:r>
        <w:rPr>
          <w:rFonts w:asciiTheme="minorHAnsi" w:hAnsiTheme="minorHAnsi" w:cstheme="minorHAnsi"/>
          <w:spacing w:val="-1"/>
          <w:sz w:val="24"/>
          <w:szCs w:val="24"/>
        </w:rPr>
        <w:t>ό,τι</w:t>
      </w:r>
      <w:r>
        <w:rPr>
          <w:rFonts w:asciiTheme="minorHAnsi" w:hAnsiTheme="minorHAnsi" w:cstheme="minorHAnsi"/>
          <w:spacing w:val="-9"/>
          <w:sz w:val="24"/>
          <w:szCs w:val="24"/>
        </w:rPr>
        <w:t xml:space="preserve"> </w:t>
      </w:r>
      <w:r>
        <w:rPr>
          <w:rFonts w:asciiTheme="minorHAnsi" w:hAnsiTheme="minorHAnsi" w:cstheme="minorHAnsi"/>
          <w:spacing w:val="-1"/>
          <w:sz w:val="24"/>
          <w:szCs w:val="24"/>
        </w:rPr>
        <w:t>αφορά</w:t>
      </w:r>
      <w:r>
        <w:rPr>
          <w:rFonts w:asciiTheme="minorHAnsi" w:hAnsiTheme="minorHAnsi" w:cstheme="minorHAnsi"/>
          <w:spacing w:val="-11"/>
          <w:sz w:val="24"/>
          <w:szCs w:val="24"/>
        </w:rPr>
        <w:t xml:space="preserve"> </w:t>
      </w:r>
      <w:r>
        <w:rPr>
          <w:rFonts w:asciiTheme="minorHAnsi" w:hAnsiTheme="minorHAnsi" w:cstheme="minorHAnsi"/>
          <w:spacing w:val="-1"/>
          <w:sz w:val="24"/>
          <w:szCs w:val="24"/>
        </w:rPr>
        <w:t>στην</w:t>
      </w:r>
      <w:r>
        <w:rPr>
          <w:rFonts w:asciiTheme="minorHAnsi" w:hAnsiTheme="minorHAnsi" w:cstheme="minorHAnsi"/>
          <w:spacing w:val="-11"/>
          <w:sz w:val="24"/>
          <w:szCs w:val="24"/>
        </w:rPr>
        <w:t xml:space="preserve"> </w:t>
      </w:r>
      <w:r>
        <w:rPr>
          <w:rFonts w:asciiTheme="minorHAnsi" w:hAnsiTheme="minorHAnsi" w:cstheme="minorHAnsi"/>
          <w:spacing w:val="-1"/>
          <w:sz w:val="24"/>
          <w:szCs w:val="24"/>
        </w:rPr>
        <w:t>τρέχουσα</w:t>
      </w:r>
      <w:r>
        <w:rPr>
          <w:rFonts w:asciiTheme="minorHAnsi" w:hAnsiTheme="minorHAnsi" w:cstheme="minorHAnsi"/>
          <w:spacing w:val="-8"/>
          <w:sz w:val="24"/>
          <w:szCs w:val="24"/>
        </w:rPr>
        <w:t xml:space="preserve"> </w:t>
      </w:r>
      <w:r>
        <w:rPr>
          <w:rFonts w:asciiTheme="minorHAnsi" w:hAnsiTheme="minorHAnsi" w:cstheme="minorHAnsi"/>
          <w:spacing w:val="-1"/>
          <w:sz w:val="24"/>
          <w:szCs w:val="24"/>
        </w:rPr>
        <w:t>περίοδο,</w:t>
      </w:r>
      <w:r>
        <w:rPr>
          <w:rFonts w:asciiTheme="minorHAnsi" w:hAnsiTheme="minorHAnsi" w:cstheme="minorHAnsi"/>
          <w:spacing w:val="-7"/>
          <w:sz w:val="24"/>
          <w:szCs w:val="24"/>
        </w:rPr>
        <w:t xml:space="preserve"> </w:t>
      </w:r>
      <w:r>
        <w:rPr>
          <w:rFonts w:asciiTheme="minorHAnsi" w:hAnsiTheme="minorHAnsi" w:cstheme="minorHAnsi"/>
          <w:spacing w:val="-1"/>
          <w:sz w:val="24"/>
          <w:szCs w:val="24"/>
        </w:rPr>
        <w:t>πραγματοποιήθηκε</w:t>
      </w:r>
      <w:r>
        <w:rPr>
          <w:rFonts w:asciiTheme="minorHAnsi" w:hAnsiTheme="minorHAnsi" w:cstheme="minorHAnsi"/>
          <w:spacing w:val="-7"/>
          <w:sz w:val="24"/>
          <w:szCs w:val="24"/>
        </w:rPr>
        <w:t xml:space="preserve"> </w:t>
      </w:r>
      <w:r>
        <w:rPr>
          <w:rFonts w:asciiTheme="minorHAnsi" w:hAnsiTheme="minorHAnsi" w:cstheme="minorHAnsi"/>
          <w:sz w:val="24"/>
          <w:szCs w:val="24"/>
        </w:rPr>
        <w:t>στο</w:t>
      </w:r>
      <w:r>
        <w:rPr>
          <w:rFonts w:asciiTheme="minorHAnsi" w:hAnsiTheme="minorHAnsi" w:cstheme="minorHAnsi"/>
          <w:spacing w:val="-10"/>
          <w:sz w:val="24"/>
          <w:szCs w:val="24"/>
        </w:rPr>
        <w:t xml:space="preserve"> </w:t>
      </w:r>
      <w:r>
        <w:rPr>
          <w:rFonts w:asciiTheme="minorHAnsi" w:hAnsiTheme="minorHAnsi" w:cstheme="minorHAnsi"/>
          <w:sz w:val="24"/>
          <w:szCs w:val="24"/>
        </w:rPr>
        <w:t>Κεφ.</w:t>
      </w:r>
      <w:r>
        <w:rPr>
          <w:rFonts w:asciiTheme="minorHAnsi" w:hAnsiTheme="minorHAnsi" w:cstheme="minorHAnsi"/>
          <w:spacing w:val="-9"/>
          <w:sz w:val="24"/>
          <w:szCs w:val="24"/>
        </w:rPr>
        <w:t xml:space="preserve"> </w:t>
      </w:r>
      <w:r>
        <w:rPr>
          <w:rFonts w:asciiTheme="minorHAnsi" w:hAnsiTheme="minorHAnsi" w:cstheme="minorHAnsi"/>
          <w:sz w:val="24"/>
          <w:szCs w:val="24"/>
        </w:rPr>
        <w:t>1.4</w:t>
      </w:r>
      <w:r>
        <w:rPr>
          <w:rFonts w:asciiTheme="minorHAnsi" w:hAnsiTheme="minorHAnsi" w:cstheme="minorHAnsi"/>
          <w:spacing w:val="-7"/>
          <w:sz w:val="24"/>
          <w:szCs w:val="24"/>
        </w:rPr>
        <w:t xml:space="preserve"> </w:t>
      </w:r>
      <w:r>
        <w:rPr>
          <w:rFonts w:asciiTheme="minorHAnsi" w:hAnsiTheme="minorHAnsi" w:cstheme="minorHAnsi"/>
          <w:sz w:val="24"/>
          <w:szCs w:val="24"/>
        </w:rPr>
        <w:t>αποτίμηση</w:t>
      </w:r>
      <w:r>
        <w:rPr>
          <w:rFonts w:asciiTheme="minorHAnsi" w:hAnsiTheme="minorHAnsi" w:cstheme="minorHAnsi"/>
          <w:spacing w:val="-9"/>
          <w:sz w:val="24"/>
          <w:szCs w:val="24"/>
        </w:rPr>
        <w:t xml:space="preserve"> </w:t>
      </w:r>
      <w:r>
        <w:rPr>
          <w:rFonts w:asciiTheme="minorHAnsi" w:hAnsiTheme="minorHAnsi" w:cstheme="minorHAnsi"/>
          <w:sz w:val="24"/>
          <w:szCs w:val="24"/>
        </w:rPr>
        <w:t>των</w:t>
      </w:r>
      <w:r>
        <w:rPr>
          <w:rFonts w:asciiTheme="minorHAnsi" w:hAnsiTheme="minorHAnsi" w:cstheme="minorHAnsi"/>
          <w:spacing w:val="-9"/>
          <w:sz w:val="24"/>
          <w:szCs w:val="24"/>
        </w:rPr>
        <w:t xml:space="preserve"> </w:t>
      </w:r>
      <w:r>
        <w:rPr>
          <w:rFonts w:asciiTheme="minorHAnsi" w:hAnsiTheme="minorHAnsi" w:cstheme="minorHAnsi"/>
          <w:sz w:val="24"/>
          <w:szCs w:val="24"/>
        </w:rPr>
        <w:t>αποτελεσμάτων</w:t>
      </w:r>
      <w:r>
        <w:rPr>
          <w:rFonts w:asciiTheme="minorHAnsi" w:hAnsiTheme="minorHAnsi" w:cstheme="minorHAnsi"/>
          <w:spacing w:val="-9"/>
          <w:sz w:val="24"/>
          <w:szCs w:val="24"/>
        </w:rPr>
        <w:t xml:space="preserve"> </w:t>
      </w:r>
      <w:r>
        <w:rPr>
          <w:rFonts w:asciiTheme="minorHAnsi" w:hAnsiTheme="minorHAnsi" w:cstheme="minorHAnsi"/>
          <w:sz w:val="24"/>
          <w:szCs w:val="24"/>
        </w:rPr>
        <w:t xml:space="preserve">από </w:t>
      </w:r>
      <w:r>
        <w:rPr>
          <w:rFonts w:asciiTheme="minorHAnsi" w:hAnsiTheme="minorHAnsi" w:cstheme="minorHAnsi"/>
          <w:spacing w:val="-48"/>
          <w:sz w:val="24"/>
          <w:szCs w:val="24"/>
        </w:rPr>
        <w:t xml:space="preserve"> </w:t>
      </w:r>
      <w:r>
        <w:rPr>
          <w:rFonts w:asciiTheme="minorHAnsi" w:hAnsiTheme="minorHAnsi" w:cstheme="minorHAnsi"/>
          <w:sz w:val="24"/>
          <w:szCs w:val="24"/>
        </w:rPr>
        <w:t>ήδη</w:t>
      </w:r>
      <w:r>
        <w:rPr>
          <w:rFonts w:asciiTheme="minorHAnsi" w:hAnsiTheme="minorHAnsi" w:cstheme="minorHAnsi"/>
          <w:spacing w:val="1"/>
          <w:sz w:val="24"/>
          <w:szCs w:val="24"/>
        </w:rPr>
        <w:t xml:space="preserve"> </w:t>
      </w:r>
      <w:r>
        <w:rPr>
          <w:rFonts w:asciiTheme="minorHAnsi" w:hAnsiTheme="minorHAnsi" w:cstheme="minorHAnsi"/>
          <w:sz w:val="24"/>
          <w:szCs w:val="24"/>
        </w:rPr>
        <w:t>υλοποιούμενα</w:t>
      </w:r>
      <w:r>
        <w:rPr>
          <w:rFonts w:asciiTheme="minorHAnsi" w:hAnsiTheme="minorHAnsi" w:cstheme="minorHAnsi"/>
          <w:spacing w:val="1"/>
          <w:sz w:val="24"/>
          <w:szCs w:val="24"/>
        </w:rPr>
        <w:t xml:space="preserve"> </w:t>
      </w:r>
      <w:r>
        <w:rPr>
          <w:rFonts w:asciiTheme="minorHAnsi" w:hAnsiTheme="minorHAnsi" w:cstheme="minorHAnsi"/>
          <w:sz w:val="24"/>
          <w:szCs w:val="24"/>
        </w:rPr>
        <w:t>και</w:t>
      </w:r>
      <w:r>
        <w:rPr>
          <w:rFonts w:asciiTheme="minorHAnsi" w:hAnsiTheme="minorHAnsi" w:cstheme="minorHAnsi"/>
          <w:spacing w:val="1"/>
          <w:sz w:val="24"/>
          <w:szCs w:val="24"/>
        </w:rPr>
        <w:t xml:space="preserve"> </w:t>
      </w:r>
      <w:r>
        <w:rPr>
          <w:rFonts w:asciiTheme="minorHAnsi" w:hAnsiTheme="minorHAnsi" w:cstheme="minorHAnsi"/>
          <w:sz w:val="24"/>
          <w:szCs w:val="24"/>
        </w:rPr>
        <w:t>εν</w:t>
      </w:r>
      <w:r>
        <w:rPr>
          <w:rFonts w:asciiTheme="minorHAnsi" w:hAnsiTheme="minorHAnsi" w:cstheme="minorHAnsi"/>
          <w:spacing w:val="1"/>
          <w:sz w:val="24"/>
          <w:szCs w:val="24"/>
        </w:rPr>
        <w:t xml:space="preserve"> </w:t>
      </w:r>
      <w:r>
        <w:rPr>
          <w:rFonts w:asciiTheme="minorHAnsi" w:hAnsiTheme="minorHAnsi" w:cstheme="minorHAnsi"/>
          <w:sz w:val="24"/>
          <w:szCs w:val="24"/>
        </w:rPr>
        <w:t>εξελίξει</w:t>
      </w:r>
      <w:r>
        <w:rPr>
          <w:rFonts w:asciiTheme="minorHAnsi" w:hAnsiTheme="minorHAnsi" w:cstheme="minorHAnsi"/>
          <w:spacing w:val="1"/>
          <w:sz w:val="24"/>
          <w:szCs w:val="24"/>
        </w:rPr>
        <w:t xml:space="preserve"> </w:t>
      </w:r>
      <w:r>
        <w:rPr>
          <w:rFonts w:asciiTheme="minorHAnsi" w:hAnsiTheme="minorHAnsi" w:cstheme="minorHAnsi"/>
          <w:sz w:val="24"/>
          <w:szCs w:val="24"/>
        </w:rPr>
        <w:t>έργα</w:t>
      </w:r>
      <w:r>
        <w:rPr>
          <w:rFonts w:asciiTheme="minorHAnsi" w:hAnsiTheme="minorHAnsi" w:cstheme="minorHAnsi"/>
          <w:spacing w:val="1"/>
          <w:sz w:val="24"/>
          <w:szCs w:val="24"/>
        </w:rPr>
        <w:t xml:space="preserve"> </w:t>
      </w:r>
      <w:r>
        <w:rPr>
          <w:rFonts w:asciiTheme="minorHAnsi" w:hAnsiTheme="minorHAnsi" w:cstheme="minorHAnsi"/>
          <w:sz w:val="24"/>
          <w:szCs w:val="24"/>
        </w:rPr>
        <w:t>του</w:t>
      </w:r>
      <w:r>
        <w:rPr>
          <w:rFonts w:asciiTheme="minorHAnsi" w:hAnsiTheme="minorHAnsi" w:cstheme="minorHAnsi"/>
          <w:spacing w:val="1"/>
          <w:sz w:val="24"/>
          <w:szCs w:val="24"/>
        </w:rPr>
        <w:t xml:space="preserve"> </w:t>
      </w:r>
      <w:r>
        <w:rPr>
          <w:rFonts w:asciiTheme="minorHAnsi" w:hAnsiTheme="minorHAnsi" w:cstheme="minorHAnsi"/>
          <w:sz w:val="24"/>
          <w:szCs w:val="24"/>
        </w:rPr>
        <w:t>τομέα</w:t>
      </w:r>
      <w:r>
        <w:rPr>
          <w:rFonts w:asciiTheme="minorHAnsi" w:hAnsiTheme="minorHAnsi" w:cstheme="minorHAnsi"/>
          <w:spacing w:val="1"/>
          <w:sz w:val="24"/>
          <w:szCs w:val="24"/>
        </w:rPr>
        <w:t xml:space="preserve"> </w:t>
      </w:r>
      <w:r>
        <w:rPr>
          <w:rFonts w:asciiTheme="minorHAnsi" w:hAnsiTheme="minorHAnsi" w:cstheme="minorHAnsi"/>
          <w:sz w:val="24"/>
          <w:szCs w:val="24"/>
        </w:rPr>
        <w:t>του</w:t>
      </w:r>
      <w:r>
        <w:rPr>
          <w:rFonts w:asciiTheme="minorHAnsi" w:hAnsiTheme="minorHAnsi" w:cstheme="minorHAnsi"/>
          <w:spacing w:val="1"/>
          <w:sz w:val="24"/>
          <w:szCs w:val="24"/>
        </w:rPr>
        <w:t xml:space="preserve"> </w:t>
      </w:r>
      <w:r>
        <w:rPr>
          <w:rFonts w:asciiTheme="minorHAnsi" w:hAnsiTheme="minorHAnsi" w:cstheme="minorHAnsi"/>
          <w:sz w:val="24"/>
          <w:szCs w:val="24"/>
        </w:rPr>
        <w:t>ΥΠΠΟΑ,</w:t>
      </w:r>
      <w:r>
        <w:rPr>
          <w:rFonts w:asciiTheme="minorHAnsi" w:hAnsiTheme="minorHAnsi" w:cstheme="minorHAnsi"/>
          <w:spacing w:val="1"/>
          <w:sz w:val="24"/>
          <w:szCs w:val="24"/>
        </w:rPr>
        <w:t xml:space="preserve"> </w:t>
      </w:r>
      <w:r>
        <w:rPr>
          <w:rFonts w:asciiTheme="minorHAnsi" w:hAnsiTheme="minorHAnsi" w:cstheme="minorHAnsi"/>
          <w:sz w:val="24"/>
          <w:szCs w:val="24"/>
        </w:rPr>
        <w:t>όπου</w:t>
      </w:r>
      <w:r>
        <w:rPr>
          <w:rFonts w:asciiTheme="minorHAnsi" w:hAnsiTheme="minorHAnsi" w:cstheme="minorHAnsi"/>
          <w:spacing w:val="1"/>
          <w:sz w:val="24"/>
          <w:szCs w:val="24"/>
        </w:rPr>
        <w:t xml:space="preserve"> </w:t>
      </w:r>
      <w:r>
        <w:rPr>
          <w:rFonts w:asciiTheme="minorHAnsi" w:hAnsiTheme="minorHAnsi" w:cstheme="minorHAnsi"/>
          <w:sz w:val="24"/>
          <w:szCs w:val="24"/>
        </w:rPr>
        <w:t>σαφώς</w:t>
      </w:r>
      <w:r>
        <w:rPr>
          <w:rFonts w:asciiTheme="minorHAnsi" w:hAnsiTheme="minorHAnsi" w:cstheme="minorHAnsi"/>
          <w:spacing w:val="1"/>
          <w:sz w:val="24"/>
          <w:szCs w:val="24"/>
        </w:rPr>
        <w:t xml:space="preserve"> </w:t>
      </w:r>
      <w:r>
        <w:rPr>
          <w:rFonts w:asciiTheme="minorHAnsi" w:hAnsiTheme="minorHAnsi" w:cstheme="minorHAnsi"/>
          <w:sz w:val="24"/>
          <w:szCs w:val="24"/>
        </w:rPr>
        <w:t>τεκμαίρεται</w:t>
      </w:r>
      <w:r>
        <w:rPr>
          <w:rFonts w:asciiTheme="minorHAnsi" w:hAnsiTheme="minorHAnsi" w:cstheme="minorHAnsi"/>
          <w:spacing w:val="1"/>
          <w:sz w:val="24"/>
          <w:szCs w:val="24"/>
        </w:rPr>
        <w:t xml:space="preserve"> </w:t>
      </w:r>
      <w:r>
        <w:rPr>
          <w:rFonts w:asciiTheme="minorHAnsi" w:hAnsiTheme="minorHAnsi" w:cstheme="minorHAnsi"/>
          <w:sz w:val="24"/>
          <w:szCs w:val="24"/>
        </w:rPr>
        <w:t>η</w:t>
      </w:r>
      <w:r>
        <w:rPr>
          <w:rFonts w:asciiTheme="minorHAnsi" w:hAnsiTheme="minorHAnsi" w:cstheme="minorHAnsi"/>
          <w:spacing w:val="1"/>
          <w:sz w:val="24"/>
          <w:szCs w:val="24"/>
        </w:rPr>
        <w:t xml:space="preserve"> </w:t>
      </w:r>
      <w:r>
        <w:rPr>
          <w:rFonts w:asciiTheme="minorHAnsi" w:hAnsiTheme="minorHAnsi" w:cstheme="minorHAnsi"/>
          <w:sz w:val="24"/>
          <w:szCs w:val="24"/>
        </w:rPr>
        <w:t>συμπληρωματικότητα</w:t>
      </w:r>
      <w:r>
        <w:rPr>
          <w:rFonts w:asciiTheme="minorHAnsi" w:hAnsiTheme="minorHAnsi" w:cstheme="minorHAnsi"/>
          <w:spacing w:val="-4"/>
          <w:sz w:val="24"/>
          <w:szCs w:val="24"/>
        </w:rPr>
        <w:t xml:space="preserve"> </w:t>
      </w:r>
      <w:r>
        <w:rPr>
          <w:rFonts w:asciiTheme="minorHAnsi" w:hAnsiTheme="minorHAnsi" w:cstheme="minorHAnsi"/>
          <w:sz w:val="24"/>
          <w:szCs w:val="24"/>
        </w:rPr>
        <w:t>των</w:t>
      </w:r>
      <w:r>
        <w:rPr>
          <w:rFonts w:asciiTheme="minorHAnsi" w:hAnsiTheme="minorHAnsi" w:cstheme="minorHAnsi"/>
          <w:spacing w:val="-3"/>
          <w:sz w:val="24"/>
          <w:szCs w:val="24"/>
        </w:rPr>
        <w:t xml:space="preserve"> </w:t>
      </w:r>
      <w:r>
        <w:rPr>
          <w:rFonts w:asciiTheme="minorHAnsi" w:hAnsiTheme="minorHAnsi" w:cstheme="minorHAnsi"/>
          <w:sz w:val="24"/>
          <w:szCs w:val="24"/>
        </w:rPr>
        <w:t>δράσεων.</w:t>
      </w:r>
    </w:p>
    <w:p w14:paraId="0C4B2688" w14:textId="77777777" w:rsidR="002A2422" w:rsidRDefault="003B3AD7">
      <w:pPr>
        <w:pStyle w:val="a4"/>
        <w:spacing w:before="159" w:line="360" w:lineRule="auto"/>
        <w:ind w:left="0" w:right="688"/>
        <w:rPr>
          <w:rFonts w:asciiTheme="minorHAnsi" w:hAnsiTheme="minorHAnsi" w:cstheme="minorHAnsi"/>
          <w:sz w:val="24"/>
          <w:szCs w:val="24"/>
        </w:rPr>
      </w:pPr>
      <w:r>
        <w:rPr>
          <w:rFonts w:asciiTheme="minorHAnsi" w:hAnsiTheme="minorHAnsi" w:cstheme="minorHAnsi"/>
          <w:sz w:val="24"/>
          <w:szCs w:val="24"/>
        </w:rPr>
        <w:t>Στο</w:t>
      </w:r>
      <w:r>
        <w:rPr>
          <w:rFonts w:asciiTheme="minorHAnsi" w:hAnsiTheme="minorHAnsi" w:cstheme="minorHAnsi"/>
          <w:spacing w:val="-8"/>
          <w:sz w:val="24"/>
          <w:szCs w:val="24"/>
        </w:rPr>
        <w:t xml:space="preserve"> </w:t>
      </w:r>
      <w:r>
        <w:rPr>
          <w:rFonts w:asciiTheme="minorHAnsi" w:hAnsiTheme="minorHAnsi" w:cstheme="minorHAnsi"/>
          <w:sz w:val="24"/>
          <w:szCs w:val="24"/>
        </w:rPr>
        <w:t>πλαίσιο</w:t>
      </w:r>
      <w:r>
        <w:rPr>
          <w:rFonts w:asciiTheme="minorHAnsi" w:hAnsiTheme="minorHAnsi" w:cstheme="minorHAnsi"/>
          <w:spacing w:val="-4"/>
          <w:sz w:val="24"/>
          <w:szCs w:val="24"/>
        </w:rPr>
        <w:t xml:space="preserve"> </w:t>
      </w:r>
      <w:r>
        <w:rPr>
          <w:rFonts w:asciiTheme="minorHAnsi" w:hAnsiTheme="minorHAnsi" w:cstheme="minorHAnsi"/>
          <w:sz w:val="24"/>
          <w:szCs w:val="24"/>
        </w:rPr>
        <w:t>της</w:t>
      </w:r>
      <w:r>
        <w:rPr>
          <w:rFonts w:asciiTheme="minorHAnsi" w:hAnsiTheme="minorHAnsi" w:cstheme="minorHAnsi"/>
          <w:spacing w:val="-7"/>
          <w:sz w:val="24"/>
          <w:szCs w:val="24"/>
        </w:rPr>
        <w:t xml:space="preserve"> </w:t>
      </w:r>
      <w:r>
        <w:rPr>
          <w:rFonts w:asciiTheme="minorHAnsi" w:hAnsiTheme="minorHAnsi" w:cstheme="minorHAnsi"/>
          <w:sz w:val="24"/>
          <w:szCs w:val="24"/>
        </w:rPr>
        <w:t>σχεδιαζόμενης</w:t>
      </w:r>
      <w:r>
        <w:rPr>
          <w:rFonts w:asciiTheme="minorHAnsi" w:hAnsiTheme="minorHAnsi" w:cstheme="minorHAnsi"/>
          <w:spacing w:val="-6"/>
          <w:sz w:val="24"/>
          <w:szCs w:val="24"/>
        </w:rPr>
        <w:t xml:space="preserve"> </w:t>
      </w:r>
      <w:r>
        <w:rPr>
          <w:rFonts w:asciiTheme="minorHAnsi" w:hAnsiTheme="minorHAnsi" w:cstheme="minorHAnsi"/>
          <w:sz w:val="24"/>
          <w:szCs w:val="24"/>
        </w:rPr>
        <w:t>προγραμματικής</w:t>
      </w:r>
      <w:r>
        <w:rPr>
          <w:rFonts w:asciiTheme="minorHAnsi" w:hAnsiTheme="minorHAnsi" w:cstheme="minorHAnsi"/>
          <w:spacing w:val="-7"/>
          <w:sz w:val="24"/>
          <w:szCs w:val="24"/>
        </w:rPr>
        <w:t xml:space="preserve"> </w:t>
      </w:r>
      <w:r>
        <w:rPr>
          <w:rFonts w:asciiTheme="minorHAnsi" w:hAnsiTheme="minorHAnsi" w:cstheme="minorHAnsi"/>
          <w:sz w:val="24"/>
          <w:szCs w:val="24"/>
        </w:rPr>
        <w:t>περιόδου</w:t>
      </w:r>
      <w:r>
        <w:rPr>
          <w:rFonts w:asciiTheme="minorHAnsi" w:hAnsiTheme="minorHAnsi" w:cstheme="minorHAnsi"/>
          <w:spacing w:val="-4"/>
          <w:sz w:val="24"/>
          <w:szCs w:val="24"/>
        </w:rPr>
        <w:t xml:space="preserve"> </w:t>
      </w:r>
      <w:r>
        <w:rPr>
          <w:rFonts w:asciiTheme="minorHAnsi" w:hAnsiTheme="minorHAnsi" w:cstheme="minorHAnsi"/>
          <w:sz w:val="24"/>
          <w:szCs w:val="24"/>
        </w:rPr>
        <w:t>2021</w:t>
      </w:r>
      <w:r>
        <w:rPr>
          <w:rFonts w:asciiTheme="minorHAnsi" w:hAnsiTheme="minorHAnsi" w:cstheme="minorHAnsi"/>
          <w:spacing w:val="-6"/>
          <w:sz w:val="24"/>
          <w:szCs w:val="24"/>
        </w:rPr>
        <w:t xml:space="preserve"> </w:t>
      </w:r>
      <w:r>
        <w:rPr>
          <w:rFonts w:asciiTheme="minorHAnsi" w:hAnsiTheme="minorHAnsi" w:cstheme="minorHAnsi"/>
          <w:sz w:val="24"/>
          <w:szCs w:val="24"/>
        </w:rPr>
        <w:t>–</w:t>
      </w:r>
      <w:r>
        <w:rPr>
          <w:rFonts w:asciiTheme="minorHAnsi" w:hAnsiTheme="minorHAnsi" w:cstheme="minorHAnsi"/>
          <w:spacing w:val="-8"/>
          <w:sz w:val="24"/>
          <w:szCs w:val="24"/>
        </w:rPr>
        <w:t xml:space="preserve"> </w:t>
      </w:r>
      <w:r>
        <w:rPr>
          <w:rFonts w:asciiTheme="minorHAnsi" w:hAnsiTheme="minorHAnsi" w:cstheme="minorHAnsi"/>
          <w:sz w:val="24"/>
          <w:szCs w:val="24"/>
        </w:rPr>
        <w:t>2027</w:t>
      </w:r>
      <w:r>
        <w:rPr>
          <w:rFonts w:asciiTheme="minorHAnsi" w:hAnsiTheme="minorHAnsi" w:cstheme="minorHAnsi"/>
          <w:spacing w:val="-5"/>
          <w:sz w:val="24"/>
          <w:szCs w:val="24"/>
        </w:rPr>
        <w:t xml:space="preserve"> </w:t>
      </w:r>
      <w:r>
        <w:rPr>
          <w:rFonts w:asciiTheme="minorHAnsi" w:hAnsiTheme="minorHAnsi" w:cstheme="minorHAnsi"/>
          <w:sz w:val="24"/>
          <w:szCs w:val="24"/>
        </w:rPr>
        <w:t>και</w:t>
      </w:r>
      <w:r>
        <w:rPr>
          <w:rFonts w:asciiTheme="minorHAnsi" w:hAnsiTheme="minorHAnsi" w:cstheme="minorHAnsi"/>
          <w:spacing w:val="-8"/>
          <w:sz w:val="24"/>
          <w:szCs w:val="24"/>
        </w:rPr>
        <w:t xml:space="preserve"> </w:t>
      </w:r>
      <w:r>
        <w:rPr>
          <w:rFonts w:asciiTheme="minorHAnsi" w:hAnsiTheme="minorHAnsi" w:cstheme="minorHAnsi"/>
          <w:sz w:val="24"/>
          <w:szCs w:val="24"/>
        </w:rPr>
        <w:t>μετά</w:t>
      </w:r>
      <w:r>
        <w:rPr>
          <w:rFonts w:asciiTheme="minorHAnsi" w:hAnsiTheme="minorHAnsi" w:cstheme="minorHAnsi"/>
          <w:spacing w:val="-9"/>
          <w:sz w:val="24"/>
          <w:szCs w:val="24"/>
        </w:rPr>
        <w:t xml:space="preserve"> </w:t>
      </w:r>
      <w:r>
        <w:rPr>
          <w:rFonts w:asciiTheme="minorHAnsi" w:hAnsiTheme="minorHAnsi" w:cstheme="minorHAnsi"/>
          <w:sz w:val="24"/>
          <w:szCs w:val="24"/>
        </w:rPr>
        <w:t>την</w:t>
      </w:r>
      <w:r>
        <w:rPr>
          <w:rFonts w:asciiTheme="minorHAnsi" w:hAnsiTheme="minorHAnsi" w:cstheme="minorHAnsi"/>
          <w:spacing w:val="-6"/>
          <w:sz w:val="24"/>
          <w:szCs w:val="24"/>
        </w:rPr>
        <w:t xml:space="preserve"> </w:t>
      </w:r>
      <w:r>
        <w:rPr>
          <w:rFonts w:asciiTheme="minorHAnsi" w:hAnsiTheme="minorHAnsi" w:cstheme="minorHAnsi"/>
          <w:sz w:val="24"/>
          <w:szCs w:val="24"/>
        </w:rPr>
        <w:t>ολοκλήρωση</w:t>
      </w:r>
      <w:r>
        <w:rPr>
          <w:rFonts w:asciiTheme="minorHAnsi" w:hAnsiTheme="minorHAnsi" w:cstheme="minorHAnsi"/>
          <w:spacing w:val="-6"/>
          <w:sz w:val="24"/>
          <w:szCs w:val="24"/>
        </w:rPr>
        <w:t xml:space="preserve"> </w:t>
      </w:r>
      <w:r>
        <w:rPr>
          <w:rFonts w:asciiTheme="minorHAnsi" w:hAnsiTheme="minorHAnsi" w:cstheme="minorHAnsi"/>
          <w:sz w:val="24"/>
          <w:szCs w:val="24"/>
        </w:rPr>
        <w:t>αυτής,</w:t>
      </w:r>
      <w:r>
        <w:rPr>
          <w:rFonts w:asciiTheme="minorHAnsi" w:hAnsiTheme="minorHAnsi" w:cstheme="minorHAnsi"/>
          <w:spacing w:val="-6"/>
          <w:sz w:val="24"/>
          <w:szCs w:val="24"/>
        </w:rPr>
        <w:t xml:space="preserve"> </w:t>
      </w:r>
      <w:r>
        <w:rPr>
          <w:rFonts w:asciiTheme="minorHAnsi" w:hAnsiTheme="minorHAnsi" w:cstheme="minorHAnsi"/>
          <w:sz w:val="24"/>
          <w:szCs w:val="24"/>
        </w:rPr>
        <w:t>θα</w:t>
      </w:r>
      <w:r>
        <w:rPr>
          <w:rFonts w:asciiTheme="minorHAnsi" w:hAnsiTheme="minorHAnsi" w:cstheme="minorHAnsi"/>
          <w:spacing w:val="-47"/>
          <w:sz w:val="24"/>
          <w:szCs w:val="24"/>
        </w:rPr>
        <w:t xml:space="preserve"> </w:t>
      </w:r>
      <w:r>
        <w:rPr>
          <w:rFonts w:asciiTheme="minorHAnsi" w:hAnsiTheme="minorHAnsi" w:cstheme="minorHAnsi"/>
          <w:sz w:val="24"/>
          <w:szCs w:val="24"/>
        </w:rPr>
        <w:t>προκύψουν τα νέα τομεακά και επιχειρησιακά προγράμματα. Η ευρωπαϊκή αναπτυξιακή πολιτική, που</w:t>
      </w:r>
      <w:r>
        <w:rPr>
          <w:rFonts w:asciiTheme="minorHAnsi" w:hAnsiTheme="minorHAnsi" w:cstheme="minorHAnsi"/>
          <w:spacing w:val="1"/>
          <w:sz w:val="24"/>
          <w:szCs w:val="24"/>
        </w:rPr>
        <w:t xml:space="preserve"> </w:t>
      </w:r>
      <w:r>
        <w:rPr>
          <w:rFonts w:asciiTheme="minorHAnsi" w:hAnsiTheme="minorHAnsi" w:cstheme="minorHAnsi"/>
          <w:sz w:val="24"/>
          <w:szCs w:val="24"/>
        </w:rPr>
        <w:t>περιγράφεται μέσα από κανονιστικά κείμενα και την οποία θα εφαρμόσουν τα Ευρωπαϊκά Ταμεία και τα</w:t>
      </w:r>
      <w:r>
        <w:rPr>
          <w:rFonts w:asciiTheme="minorHAnsi" w:hAnsiTheme="minorHAnsi" w:cstheme="minorHAnsi"/>
          <w:spacing w:val="1"/>
          <w:sz w:val="24"/>
          <w:szCs w:val="24"/>
        </w:rPr>
        <w:t xml:space="preserve"> </w:t>
      </w:r>
      <w:r>
        <w:rPr>
          <w:rFonts w:asciiTheme="minorHAnsi" w:hAnsiTheme="minorHAnsi" w:cstheme="minorHAnsi"/>
          <w:sz w:val="24"/>
          <w:szCs w:val="24"/>
        </w:rPr>
        <w:t>θεσμικά</w:t>
      </w:r>
      <w:r>
        <w:rPr>
          <w:rFonts w:asciiTheme="minorHAnsi" w:hAnsiTheme="minorHAnsi" w:cstheme="minorHAnsi"/>
          <w:spacing w:val="-1"/>
          <w:sz w:val="24"/>
          <w:szCs w:val="24"/>
        </w:rPr>
        <w:t xml:space="preserve"> </w:t>
      </w:r>
      <w:r>
        <w:rPr>
          <w:rFonts w:asciiTheme="minorHAnsi" w:hAnsiTheme="minorHAnsi" w:cstheme="minorHAnsi"/>
          <w:sz w:val="24"/>
          <w:szCs w:val="24"/>
        </w:rPr>
        <w:t>όργανα, καλύπτεται</w:t>
      </w:r>
      <w:r>
        <w:rPr>
          <w:rFonts w:asciiTheme="minorHAnsi" w:hAnsiTheme="minorHAnsi" w:cstheme="minorHAnsi"/>
          <w:spacing w:val="-1"/>
          <w:sz w:val="24"/>
          <w:szCs w:val="24"/>
        </w:rPr>
        <w:t xml:space="preserve"> </w:t>
      </w:r>
      <w:r>
        <w:rPr>
          <w:rFonts w:asciiTheme="minorHAnsi" w:hAnsiTheme="minorHAnsi" w:cstheme="minorHAnsi"/>
          <w:sz w:val="24"/>
          <w:szCs w:val="24"/>
        </w:rPr>
        <w:t>από</w:t>
      </w:r>
      <w:r>
        <w:rPr>
          <w:rFonts w:asciiTheme="minorHAnsi" w:hAnsiTheme="minorHAnsi" w:cstheme="minorHAnsi"/>
          <w:spacing w:val="-1"/>
          <w:sz w:val="24"/>
          <w:szCs w:val="24"/>
        </w:rPr>
        <w:t xml:space="preserve"> </w:t>
      </w:r>
      <w:r>
        <w:rPr>
          <w:rFonts w:asciiTheme="minorHAnsi" w:hAnsiTheme="minorHAnsi" w:cstheme="minorHAnsi"/>
          <w:sz w:val="24"/>
          <w:szCs w:val="24"/>
        </w:rPr>
        <w:t>5</w:t>
      </w:r>
      <w:r>
        <w:rPr>
          <w:rFonts w:asciiTheme="minorHAnsi" w:hAnsiTheme="minorHAnsi" w:cstheme="minorHAnsi"/>
          <w:spacing w:val="2"/>
          <w:sz w:val="24"/>
          <w:szCs w:val="24"/>
        </w:rPr>
        <w:t xml:space="preserve"> </w:t>
      </w:r>
      <w:r>
        <w:rPr>
          <w:rFonts w:asciiTheme="minorHAnsi" w:hAnsiTheme="minorHAnsi" w:cstheme="minorHAnsi"/>
          <w:sz w:val="24"/>
          <w:szCs w:val="24"/>
        </w:rPr>
        <w:t>στόχους</w:t>
      </w:r>
      <w:r>
        <w:rPr>
          <w:rFonts w:asciiTheme="minorHAnsi" w:hAnsiTheme="minorHAnsi" w:cstheme="minorHAnsi"/>
          <w:spacing w:val="1"/>
          <w:sz w:val="24"/>
          <w:szCs w:val="24"/>
        </w:rPr>
        <w:t xml:space="preserve"> </w:t>
      </w:r>
      <w:r>
        <w:rPr>
          <w:rFonts w:asciiTheme="minorHAnsi" w:hAnsiTheme="minorHAnsi" w:cstheme="minorHAnsi"/>
          <w:sz w:val="24"/>
          <w:szCs w:val="24"/>
        </w:rPr>
        <w:t>πολιτικής</w:t>
      </w:r>
      <w:r>
        <w:rPr>
          <w:rFonts w:asciiTheme="minorHAnsi" w:hAnsiTheme="minorHAnsi" w:cstheme="minorHAnsi"/>
          <w:spacing w:val="-1"/>
          <w:sz w:val="24"/>
          <w:szCs w:val="24"/>
        </w:rPr>
        <w:t xml:space="preserve"> </w:t>
      </w:r>
      <w:r>
        <w:rPr>
          <w:rFonts w:asciiTheme="minorHAnsi" w:hAnsiTheme="minorHAnsi" w:cstheme="minorHAnsi"/>
          <w:sz w:val="24"/>
          <w:szCs w:val="24"/>
        </w:rPr>
        <w:t>οι</w:t>
      </w:r>
      <w:r>
        <w:rPr>
          <w:rFonts w:asciiTheme="minorHAnsi" w:hAnsiTheme="minorHAnsi" w:cstheme="minorHAnsi"/>
          <w:spacing w:val="-3"/>
          <w:sz w:val="24"/>
          <w:szCs w:val="24"/>
        </w:rPr>
        <w:t xml:space="preserve"> </w:t>
      </w:r>
      <w:r>
        <w:rPr>
          <w:rFonts w:asciiTheme="minorHAnsi" w:hAnsiTheme="minorHAnsi" w:cstheme="minorHAnsi"/>
          <w:sz w:val="24"/>
          <w:szCs w:val="24"/>
        </w:rPr>
        <w:t>οποίοι</w:t>
      </w:r>
      <w:r>
        <w:rPr>
          <w:rFonts w:asciiTheme="minorHAnsi" w:hAnsiTheme="minorHAnsi" w:cstheme="minorHAnsi"/>
          <w:spacing w:val="-3"/>
          <w:sz w:val="24"/>
          <w:szCs w:val="24"/>
        </w:rPr>
        <w:t xml:space="preserve"> </w:t>
      </w:r>
      <w:r>
        <w:rPr>
          <w:rFonts w:asciiTheme="minorHAnsi" w:hAnsiTheme="minorHAnsi" w:cstheme="minorHAnsi"/>
          <w:sz w:val="24"/>
          <w:szCs w:val="24"/>
        </w:rPr>
        <w:t>είναι:</w:t>
      </w:r>
    </w:p>
    <w:p w14:paraId="3A11E49B" w14:textId="77777777" w:rsidR="002A2422" w:rsidRDefault="003B3AD7">
      <w:pPr>
        <w:pStyle w:val="ad"/>
        <w:widowControl w:val="0"/>
        <w:numPr>
          <w:ilvl w:val="0"/>
          <w:numId w:val="24"/>
        </w:numPr>
        <w:tabs>
          <w:tab w:val="left" w:pos="1394"/>
        </w:tabs>
        <w:autoSpaceDE w:val="0"/>
        <w:autoSpaceDN w:val="0"/>
        <w:spacing w:before="158"/>
        <w:ind w:left="721" w:right="693"/>
        <w:contextualSpacing w:val="0"/>
        <w:jc w:val="both"/>
        <w:rPr>
          <w:rFonts w:asciiTheme="minorHAnsi" w:hAnsiTheme="minorHAnsi" w:cstheme="minorHAnsi"/>
          <w:sz w:val="24"/>
          <w:szCs w:val="24"/>
        </w:rPr>
      </w:pPr>
      <w:r>
        <w:rPr>
          <w:rFonts w:asciiTheme="minorHAnsi" w:hAnsiTheme="minorHAnsi" w:cstheme="minorHAnsi"/>
          <w:sz w:val="24"/>
          <w:szCs w:val="24"/>
        </w:rPr>
        <w:t>μια</w:t>
      </w:r>
      <w:r>
        <w:rPr>
          <w:rFonts w:asciiTheme="minorHAnsi" w:hAnsiTheme="minorHAnsi" w:cstheme="minorHAnsi"/>
          <w:spacing w:val="1"/>
          <w:sz w:val="24"/>
          <w:szCs w:val="24"/>
        </w:rPr>
        <w:t xml:space="preserve"> </w:t>
      </w:r>
      <w:r>
        <w:rPr>
          <w:rFonts w:asciiTheme="minorHAnsi" w:hAnsiTheme="minorHAnsi" w:cstheme="minorHAnsi"/>
          <w:sz w:val="24"/>
          <w:szCs w:val="24"/>
        </w:rPr>
        <w:t>εξυπνότερη</w:t>
      </w:r>
      <w:r>
        <w:rPr>
          <w:rFonts w:asciiTheme="minorHAnsi" w:hAnsiTheme="minorHAnsi" w:cstheme="minorHAnsi"/>
          <w:spacing w:val="1"/>
          <w:sz w:val="24"/>
          <w:szCs w:val="24"/>
        </w:rPr>
        <w:t xml:space="preserve"> </w:t>
      </w:r>
      <w:r>
        <w:rPr>
          <w:rFonts w:asciiTheme="minorHAnsi" w:hAnsiTheme="minorHAnsi" w:cstheme="minorHAnsi"/>
          <w:sz w:val="24"/>
          <w:szCs w:val="24"/>
        </w:rPr>
        <w:t>Ευρώπη</w:t>
      </w:r>
      <w:r>
        <w:rPr>
          <w:rFonts w:asciiTheme="minorHAnsi" w:hAnsiTheme="minorHAnsi" w:cstheme="minorHAnsi"/>
          <w:spacing w:val="1"/>
          <w:sz w:val="24"/>
          <w:szCs w:val="24"/>
        </w:rPr>
        <w:t xml:space="preserve"> </w:t>
      </w:r>
      <w:r>
        <w:rPr>
          <w:rFonts w:asciiTheme="minorHAnsi" w:hAnsiTheme="minorHAnsi" w:cstheme="minorHAnsi"/>
          <w:sz w:val="24"/>
          <w:szCs w:val="24"/>
        </w:rPr>
        <w:t>μέσω</w:t>
      </w:r>
      <w:r>
        <w:rPr>
          <w:rFonts w:asciiTheme="minorHAnsi" w:hAnsiTheme="minorHAnsi" w:cstheme="minorHAnsi"/>
          <w:spacing w:val="1"/>
          <w:sz w:val="24"/>
          <w:szCs w:val="24"/>
        </w:rPr>
        <w:t xml:space="preserve"> </w:t>
      </w:r>
      <w:r>
        <w:rPr>
          <w:rFonts w:asciiTheme="minorHAnsi" w:hAnsiTheme="minorHAnsi" w:cstheme="minorHAnsi"/>
          <w:sz w:val="24"/>
          <w:szCs w:val="24"/>
        </w:rPr>
        <w:t>της</w:t>
      </w:r>
      <w:r>
        <w:rPr>
          <w:rFonts w:asciiTheme="minorHAnsi" w:hAnsiTheme="minorHAnsi" w:cstheme="minorHAnsi"/>
          <w:spacing w:val="1"/>
          <w:sz w:val="24"/>
          <w:szCs w:val="24"/>
        </w:rPr>
        <w:t xml:space="preserve"> </w:t>
      </w:r>
      <w:r>
        <w:rPr>
          <w:rFonts w:asciiTheme="minorHAnsi" w:hAnsiTheme="minorHAnsi" w:cstheme="minorHAnsi"/>
          <w:sz w:val="24"/>
          <w:szCs w:val="24"/>
        </w:rPr>
        <w:t>προώθησης</w:t>
      </w:r>
      <w:r>
        <w:rPr>
          <w:rFonts w:asciiTheme="minorHAnsi" w:hAnsiTheme="minorHAnsi" w:cstheme="minorHAnsi"/>
          <w:spacing w:val="1"/>
          <w:sz w:val="24"/>
          <w:szCs w:val="24"/>
        </w:rPr>
        <w:t xml:space="preserve"> </w:t>
      </w:r>
      <w:r>
        <w:rPr>
          <w:rFonts w:asciiTheme="minorHAnsi" w:hAnsiTheme="minorHAnsi" w:cstheme="minorHAnsi"/>
          <w:sz w:val="24"/>
          <w:szCs w:val="24"/>
        </w:rPr>
        <w:t>του</w:t>
      </w:r>
      <w:r>
        <w:rPr>
          <w:rFonts w:asciiTheme="minorHAnsi" w:hAnsiTheme="minorHAnsi" w:cstheme="minorHAnsi"/>
          <w:spacing w:val="1"/>
          <w:sz w:val="24"/>
          <w:szCs w:val="24"/>
        </w:rPr>
        <w:t xml:space="preserve"> </w:t>
      </w:r>
      <w:r>
        <w:rPr>
          <w:rFonts w:asciiTheme="minorHAnsi" w:hAnsiTheme="minorHAnsi" w:cstheme="minorHAnsi"/>
          <w:sz w:val="24"/>
          <w:szCs w:val="24"/>
        </w:rPr>
        <w:t>καινοτόμου</w:t>
      </w:r>
      <w:r>
        <w:rPr>
          <w:rFonts w:asciiTheme="minorHAnsi" w:hAnsiTheme="minorHAnsi" w:cstheme="minorHAnsi"/>
          <w:spacing w:val="1"/>
          <w:sz w:val="24"/>
          <w:szCs w:val="24"/>
        </w:rPr>
        <w:t xml:space="preserve"> </w:t>
      </w:r>
      <w:r>
        <w:rPr>
          <w:rFonts w:asciiTheme="minorHAnsi" w:hAnsiTheme="minorHAnsi" w:cstheme="minorHAnsi"/>
          <w:sz w:val="24"/>
          <w:szCs w:val="24"/>
        </w:rPr>
        <w:t>και</w:t>
      </w:r>
      <w:r>
        <w:rPr>
          <w:rFonts w:asciiTheme="minorHAnsi" w:hAnsiTheme="minorHAnsi" w:cstheme="minorHAnsi"/>
          <w:spacing w:val="1"/>
          <w:sz w:val="24"/>
          <w:szCs w:val="24"/>
        </w:rPr>
        <w:t xml:space="preserve"> </w:t>
      </w:r>
      <w:r>
        <w:rPr>
          <w:rFonts w:asciiTheme="minorHAnsi" w:hAnsiTheme="minorHAnsi" w:cstheme="minorHAnsi"/>
          <w:sz w:val="24"/>
          <w:szCs w:val="24"/>
        </w:rPr>
        <w:t>έξυπνου</w:t>
      </w:r>
      <w:r>
        <w:rPr>
          <w:rFonts w:asciiTheme="minorHAnsi" w:hAnsiTheme="minorHAnsi" w:cstheme="minorHAnsi"/>
          <w:spacing w:val="1"/>
          <w:sz w:val="24"/>
          <w:szCs w:val="24"/>
        </w:rPr>
        <w:t xml:space="preserve"> </w:t>
      </w:r>
      <w:r>
        <w:rPr>
          <w:rFonts w:asciiTheme="minorHAnsi" w:hAnsiTheme="minorHAnsi" w:cstheme="minorHAnsi"/>
          <w:sz w:val="24"/>
          <w:szCs w:val="24"/>
        </w:rPr>
        <w:t>οικονομικού</w:t>
      </w:r>
      <w:r>
        <w:rPr>
          <w:rFonts w:asciiTheme="minorHAnsi" w:hAnsiTheme="minorHAnsi" w:cstheme="minorHAnsi"/>
          <w:spacing w:val="1"/>
          <w:sz w:val="24"/>
          <w:szCs w:val="24"/>
        </w:rPr>
        <w:t xml:space="preserve"> </w:t>
      </w:r>
      <w:r>
        <w:rPr>
          <w:rFonts w:asciiTheme="minorHAnsi" w:hAnsiTheme="minorHAnsi" w:cstheme="minorHAnsi"/>
          <w:sz w:val="24"/>
          <w:szCs w:val="24"/>
        </w:rPr>
        <w:t>μετασχηματισμού,</w:t>
      </w:r>
    </w:p>
    <w:p w14:paraId="5B7BE6CC" w14:textId="77777777" w:rsidR="002A2422" w:rsidRDefault="003B3AD7">
      <w:pPr>
        <w:pStyle w:val="ad"/>
        <w:widowControl w:val="0"/>
        <w:numPr>
          <w:ilvl w:val="0"/>
          <w:numId w:val="24"/>
        </w:numPr>
        <w:tabs>
          <w:tab w:val="left" w:pos="1394"/>
        </w:tabs>
        <w:autoSpaceDE w:val="0"/>
        <w:autoSpaceDN w:val="0"/>
        <w:spacing w:before="29"/>
        <w:ind w:left="721" w:right="687"/>
        <w:contextualSpacing w:val="0"/>
        <w:jc w:val="both"/>
        <w:rPr>
          <w:rFonts w:asciiTheme="minorHAnsi" w:hAnsiTheme="minorHAnsi" w:cstheme="minorHAnsi"/>
          <w:sz w:val="24"/>
          <w:szCs w:val="24"/>
        </w:rPr>
      </w:pPr>
      <w:r>
        <w:rPr>
          <w:rFonts w:asciiTheme="minorHAnsi" w:hAnsiTheme="minorHAnsi" w:cstheme="minorHAnsi"/>
          <w:sz w:val="24"/>
          <w:szCs w:val="24"/>
        </w:rPr>
        <w:t>μια</w:t>
      </w:r>
      <w:r>
        <w:rPr>
          <w:rFonts w:asciiTheme="minorHAnsi" w:hAnsiTheme="minorHAnsi" w:cstheme="minorHAnsi"/>
          <w:spacing w:val="1"/>
          <w:sz w:val="24"/>
          <w:szCs w:val="24"/>
        </w:rPr>
        <w:t xml:space="preserve"> </w:t>
      </w:r>
      <w:r>
        <w:rPr>
          <w:rFonts w:asciiTheme="minorHAnsi" w:hAnsiTheme="minorHAnsi" w:cstheme="minorHAnsi"/>
          <w:sz w:val="24"/>
          <w:szCs w:val="24"/>
        </w:rPr>
        <w:t>πιο</w:t>
      </w:r>
      <w:r>
        <w:rPr>
          <w:rFonts w:asciiTheme="minorHAnsi" w:hAnsiTheme="minorHAnsi" w:cstheme="minorHAnsi"/>
          <w:spacing w:val="1"/>
          <w:sz w:val="24"/>
          <w:szCs w:val="24"/>
        </w:rPr>
        <w:t xml:space="preserve"> </w:t>
      </w:r>
      <w:r>
        <w:rPr>
          <w:rFonts w:asciiTheme="minorHAnsi" w:hAnsiTheme="minorHAnsi" w:cstheme="minorHAnsi"/>
          <w:sz w:val="24"/>
          <w:szCs w:val="24"/>
        </w:rPr>
        <w:t>πράσινη</w:t>
      </w:r>
      <w:r>
        <w:rPr>
          <w:rFonts w:asciiTheme="minorHAnsi" w:hAnsiTheme="minorHAnsi" w:cstheme="minorHAnsi"/>
          <w:spacing w:val="1"/>
          <w:sz w:val="24"/>
          <w:szCs w:val="24"/>
        </w:rPr>
        <w:t xml:space="preserve"> </w:t>
      </w:r>
      <w:r>
        <w:rPr>
          <w:rFonts w:asciiTheme="minorHAnsi" w:hAnsiTheme="minorHAnsi" w:cstheme="minorHAnsi"/>
          <w:sz w:val="24"/>
          <w:szCs w:val="24"/>
        </w:rPr>
        <w:t>Ευρώπη</w:t>
      </w:r>
      <w:r>
        <w:rPr>
          <w:rFonts w:asciiTheme="minorHAnsi" w:hAnsiTheme="minorHAnsi" w:cstheme="minorHAnsi"/>
          <w:spacing w:val="1"/>
          <w:sz w:val="24"/>
          <w:szCs w:val="24"/>
        </w:rPr>
        <w:t xml:space="preserve"> </w:t>
      </w:r>
      <w:r>
        <w:rPr>
          <w:rFonts w:asciiTheme="minorHAnsi" w:hAnsiTheme="minorHAnsi" w:cstheme="minorHAnsi"/>
          <w:sz w:val="24"/>
          <w:szCs w:val="24"/>
        </w:rPr>
        <w:t>με</w:t>
      </w:r>
      <w:r>
        <w:rPr>
          <w:rFonts w:asciiTheme="minorHAnsi" w:hAnsiTheme="minorHAnsi" w:cstheme="minorHAnsi"/>
          <w:spacing w:val="1"/>
          <w:sz w:val="24"/>
          <w:szCs w:val="24"/>
        </w:rPr>
        <w:t xml:space="preserve"> </w:t>
      </w:r>
      <w:r>
        <w:rPr>
          <w:rFonts w:asciiTheme="minorHAnsi" w:hAnsiTheme="minorHAnsi" w:cstheme="minorHAnsi"/>
          <w:sz w:val="24"/>
          <w:szCs w:val="24"/>
        </w:rPr>
        <w:t>χαμηλές</w:t>
      </w:r>
      <w:r>
        <w:rPr>
          <w:rFonts w:asciiTheme="minorHAnsi" w:hAnsiTheme="minorHAnsi" w:cstheme="minorHAnsi"/>
          <w:spacing w:val="1"/>
          <w:sz w:val="24"/>
          <w:szCs w:val="24"/>
        </w:rPr>
        <w:t xml:space="preserve"> </w:t>
      </w:r>
      <w:r>
        <w:rPr>
          <w:rFonts w:asciiTheme="minorHAnsi" w:hAnsiTheme="minorHAnsi" w:cstheme="minorHAnsi"/>
          <w:sz w:val="24"/>
          <w:szCs w:val="24"/>
        </w:rPr>
        <w:t>εκπομπές</w:t>
      </w:r>
      <w:r>
        <w:rPr>
          <w:rFonts w:asciiTheme="minorHAnsi" w:hAnsiTheme="minorHAnsi" w:cstheme="minorHAnsi"/>
          <w:spacing w:val="1"/>
          <w:sz w:val="24"/>
          <w:szCs w:val="24"/>
        </w:rPr>
        <w:t xml:space="preserve"> </w:t>
      </w:r>
      <w:r>
        <w:rPr>
          <w:rFonts w:asciiTheme="minorHAnsi" w:hAnsiTheme="minorHAnsi" w:cstheme="minorHAnsi"/>
          <w:sz w:val="24"/>
          <w:szCs w:val="24"/>
        </w:rPr>
        <w:t>άνθρακα</w:t>
      </w:r>
      <w:r>
        <w:rPr>
          <w:rFonts w:asciiTheme="minorHAnsi" w:hAnsiTheme="minorHAnsi" w:cstheme="minorHAnsi"/>
          <w:spacing w:val="1"/>
          <w:sz w:val="24"/>
          <w:szCs w:val="24"/>
        </w:rPr>
        <w:t xml:space="preserve"> </w:t>
      </w:r>
      <w:r>
        <w:rPr>
          <w:rFonts w:asciiTheme="minorHAnsi" w:hAnsiTheme="minorHAnsi" w:cstheme="minorHAnsi"/>
          <w:sz w:val="24"/>
          <w:szCs w:val="24"/>
        </w:rPr>
        <w:t>μέσω</w:t>
      </w:r>
      <w:r>
        <w:rPr>
          <w:rFonts w:asciiTheme="minorHAnsi" w:hAnsiTheme="minorHAnsi" w:cstheme="minorHAnsi"/>
          <w:spacing w:val="1"/>
          <w:sz w:val="24"/>
          <w:szCs w:val="24"/>
        </w:rPr>
        <w:t xml:space="preserve"> </w:t>
      </w:r>
      <w:r>
        <w:rPr>
          <w:rFonts w:asciiTheme="minorHAnsi" w:hAnsiTheme="minorHAnsi" w:cstheme="minorHAnsi"/>
          <w:sz w:val="24"/>
          <w:szCs w:val="24"/>
        </w:rPr>
        <w:t>της</w:t>
      </w:r>
      <w:r>
        <w:rPr>
          <w:rFonts w:asciiTheme="minorHAnsi" w:hAnsiTheme="minorHAnsi" w:cstheme="minorHAnsi"/>
          <w:spacing w:val="1"/>
          <w:sz w:val="24"/>
          <w:szCs w:val="24"/>
        </w:rPr>
        <w:t xml:space="preserve"> </w:t>
      </w:r>
      <w:r>
        <w:rPr>
          <w:rFonts w:asciiTheme="minorHAnsi" w:hAnsiTheme="minorHAnsi" w:cstheme="minorHAnsi"/>
          <w:sz w:val="24"/>
          <w:szCs w:val="24"/>
        </w:rPr>
        <w:t>προώθησης</w:t>
      </w:r>
      <w:r>
        <w:rPr>
          <w:rFonts w:asciiTheme="minorHAnsi" w:hAnsiTheme="minorHAnsi" w:cstheme="minorHAnsi"/>
          <w:spacing w:val="1"/>
          <w:sz w:val="24"/>
          <w:szCs w:val="24"/>
        </w:rPr>
        <w:t xml:space="preserve"> </w:t>
      </w:r>
      <w:r>
        <w:rPr>
          <w:rFonts w:asciiTheme="minorHAnsi" w:hAnsiTheme="minorHAnsi" w:cstheme="minorHAnsi"/>
          <w:sz w:val="24"/>
          <w:szCs w:val="24"/>
        </w:rPr>
        <w:t>της</w:t>
      </w:r>
      <w:r>
        <w:rPr>
          <w:rFonts w:asciiTheme="minorHAnsi" w:hAnsiTheme="minorHAnsi" w:cstheme="minorHAnsi"/>
          <w:spacing w:val="1"/>
          <w:sz w:val="24"/>
          <w:szCs w:val="24"/>
        </w:rPr>
        <w:t xml:space="preserve"> </w:t>
      </w:r>
      <w:r>
        <w:rPr>
          <w:rFonts w:asciiTheme="minorHAnsi" w:hAnsiTheme="minorHAnsi" w:cstheme="minorHAnsi"/>
          <w:sz w:val="24"/>
          <w:szCs w:val="24"/>
        </w:rPr>
        <w:t>δίκαιης</w:t>
      </w:r>
      <w:r>
        <w:rPr>
          <w:rFonts w:asciiTheme="minorHAnsi" w:hAnsiTheme="minorHAnsi" w:cstheme="minorHAnsi"/>
          <w:spacing w:val="1"/>
          <w:sz w:val="24"/>
          <w:szCs w:val="24"/>
        </w:rPr>
        <w:t xml:space="preserve"> </w:t>
      </w:r>
      <w:r>
        <w:rPr>
          <w:rFonts w:asciiTheme="minorHAnsi" w:hAnsiTheme="minorHAnsi" w:cstheme="minorHAnsi"/>
          <w:sz w:val="24"/>
          <w:szCs w:val="24"/>
        </w:rPr>
        <w:t>μετάβασης</w:t>
      </w:r>
      <w:r>
        <w:rPr>
          <w:rFonts w:asciiTheme="minorHAnsi" w:hAnsiTheme="minorHAnsi" w:cstheme="minorHAnsi"/>
          <w:spacing w:val="1"/>
          <w:sz w:val="24"/>
          <w:szCs w:val="24"/>
        </w:rPr>
        <w:t xml:space="preserve"> </w:t>
      </w:r>
      <w:r>
        <w:rPr>
          <w:rFonts w:asciiTheme="minorHAnsi" w:hAnsiTheme="minorHAnsi" w:cstheme="minorHAnsi"/>
          <w:sz w:val="24"/>
          <w:szCs w:val="24"/>
        </w:rPr>
        <w:t>σε</w:t>
      </w:r>
      <w:r>
        <w:rPr>
          <w:rFonts w:asciiTheme="minorHAnsi" w:hAnsiTheme="minorHAnsi" w:cstheme="minorHAnsi"/>
          <w:spacing w:val="1"/>
          <w:sz w:val="24"/>
          <w:szCs w:val="24"/>
        </w:rPr>
        <w:t xml:space="preserve"> </w:t>
      </w:r>
      <w:r>
        <w:rPr>
          <w:rFonts w:asciiTheme="minorHAnsi" w:hAnsiTheme="minorHAnsi" w:cstheme="minorHAnsi"/>
          <w:sz w:val="24"/>
          <w:szCs w:val="24"/>
        </w:rPr>
        <w:t>καθαρές</w:t>
      </w:r>
      <w:r>
        <w:rPr>
          <w:rFonts w:asciiTheme="minorHAnsi" w:hAnsiTheme="minorHAnsi" w:cstheme="minorHAnsi"/>
          <w:spacing w:val="1"/>
          <w:sz w:val="24"/>
          <w:szCs w:val="24"/>
        </w:rPr>
        <w:t xml:space="preserve"> </w:t>
      </w:r>
      <w:r>
        <w:rPr>
          <w:rFonts w:asciiTheme="minorHAnsi" w:hAnsiTheme="minorHAnsi" w:cstheme="minorHAnsi"/>
          <w:sz w:val="24"/>
          <w:szCs w:val="24"/>
        </w:rPr>
        <w:t>μορφές</w:t>
      </w:r>
      <w:r>
        <w:rPr>
          <w:rFonts w:asciiTheme="minorHAnsi" w:hAnsiTheme="minorHAnsi" w:cstheme="minorHAnsi"/>
          <w:spacing w:val="1"/>
          <w:sz w:val="24"/>
          <w:szCs w:val="24"/>
        </w:rPr>
        <w:t xml:space="preserve"> </w:t>
      </w:r>
      <w:r>
        <w:rPr>
          <w:rFonts w:asciiTheme="minorHAnsi" w:hAnsiTheme="minorHAnsi" w:cstheme="minorHAnsi"/>
          <w:sz w:val="24"/>
          <w:szCs w:val="24"/>
        </w:rPr>
        <w:t>ενέργειας,</w:t>
      </w:r>
      <w:r>
        <w:rPr>
          <w:rFonts w:asciiTheme="minorHAnsi" w:hAnsiTheme="minorHAnsi" w:cstheme="minorHAnsi"/>
          <w:spacing w:val="1"/>
          <w:sz w:val="24"/>
          <w:szCs w:val="24"/>
        </w:rPr>
        <w:t xml:space="preserve"> </w:t>
      </w:r>
      <w:r>
        <w:rPr>
          <w:rFonts w:asciiTheme="minorHAnsi" w:hAnsiTheme="minorHAnsi" w:cstheme="minorHAnsi"/>
          <w:sz w:val="24"/>
          <w:szCs w:val="24"/>
        </w:rPr>
        <w:t>των πράσινων</w:t>
      </w:r>
      <w:r>
        <w:rPr>
          <w:rFonts w:asciiTheme="minorHAnsi" w:hAnsiTheme="minorHAnsi" w:cstheme="minorHAnsi"/>
          <w:spacing w:val="1"/>
          <w:sz w:val="24"/>
          <w:szCs w:val="24"/>
        </w:rPr>
        <w:t xml:space="preserve"> </w:t>
      </w:r>
      <w:r>
        <w:rPr>
          <w:rFonts w:asciiTheme="minorHAnsi" w:hAnsiTheme="minorHAnsi" w:cstheme="minorHAnsi"/>
          <w:sz w:val="24"/>
          <w:szCs w:val="24"/>
        </w:rPr>
        <w:t>και μπλε επενδύσεων,</w:t>
      </w:r>
      <w:r>
        <w:rPr>
          <w:rFonts w:asciiTheme="minorHAnsi" w:hAnsiTheme="minorHAnsi" w:cstheme="minorHAnsi"/>
          <w:spacing w:val="1"/>
          <w:sz w:val="24"/>
          <w:szCs w:val="24"/>
        </w:rPr>
        <w:t xml:space="preserve"> </w:t>
      </w:r>
      <w:r>
        <w:rPr>
          <w:rFonts w:asciiTheme="minorHAnsi" w:hAnsiTheme="minorHAnsi" w:cstheme="minorHAnsi"/>
          <w:sz w:val="24"/>
          <w:szCs w:val="24"/>
        </w:rPr>
        <w:t>της</w:t>
      </w:r>
      <w:r>
        <w:rPr>
          <w:rFonts w:asciiTheme="minorHAnsi" w:hAnsiTheme="minorHAnsi" w:cstheme="minorHAnsi"/>
          <w:spacing w:val="1"/>
          <w:sz w:val="24"/>
          <w:szCs w:val="24"/>
        </w:rPr>
        <w:t xml:space="preserve"> </w:t>
      </w:r>
      <w:r>
        <w:rPr>
          <w:rFonts w:asciiTheme="minorHAnsi" w:hAnsiTheme="minorHAnsi" w:cstheme="minorHAnsi"/>
          <w:sz w:val="24"/>
          <w:szCs w:val="24"/>
        </w:rPr>
        <w:t>κυκλικής</w:t>
      </w:r>
      <w:r>
        <w:rPr>
          <w:rFonts w:asciiTheme="minorHAnsi" w:hAnsiTheme="minorHAnsi" w:cstheme="minorHAnsi"/>
          <w:spacing w:val="1"/>
          <w:sz w:val="24"/>
          <w:szCs w:val="24"/>
        </w:rPr>
        <w:t xml:space="preserve"> </w:t>
      </w:r>
      <w:r>
        <w:rPr>
          <w:rFonts w:asciiTheme="minorHAnsi" w:hAnsiTheme="minorHAnsi" w:cstheme="minorHAnsi"/>
          <w:sz w:val="24"/>
          <w:szCs w:val="24"/>
        </w:rPr>
        <w:t>οικονομίας,</w:t>
      </w:r>
      <w:r>
        <w:rPr>
          <w:rFonts w:asciiTheme="minorHAnsi" w:hAnsiTheme="minorHAnsi" w:cstheme="minorHAnsi"/>
          <w:spacing w:val="1"/>
          <w:sz w:val="24"/>
          <w:szCs w:val="24"/>
        </w:rPr>
        <w:t xml:space="preserve"> </w:t>
      </w:r>
      <w:r>
        <w:rPr>
          <w:rFonts w:asciiTheme="minorHAnsi" w:hAnsiTheme="minorHAnsi" w:cstheme="minorHAnsi"/>
          <w:sz w:val="24"/>
          <w:szCs w:val="24"/>
        </w:rPr>
        <w:t>της</w:t>
      </w:r>
      <w:r>
        <w:rPr>
          <w:rFonts w:asciiTheme="minorHAnsi" w:hAnsiTheme="minorHAnsi" w:cstheme="minorHAnsi"/>
          <w:spacing w:val="1"/>
          <w:sz w:val="24"/>
          <w:szCs w:val="24"/>
        </w:rPr>
        <w:t xml:space="preserve"> </w:t>
      </w:r>
      <w:r>
        <w:rPr>
          <w:rFonts w:asciiTheme="minorHAnsi" w:hAnsiTheme="minorHAnsi" w:cstheme="minorHAnsi"/>
          <w:sz w:val="24"/>
          <w:szCs w:val="24"/>
        </w:rPr>
        <w:t>προσαρμογής</w:t>
      </w:r>
      <w:r>
        <w:rPr>
          <w:rFonts w:asciiTheme="minorHAnsi" w:hAnsiTheme="minorHAnsi" w:cstheme="minorHAnsi"/>
          <w:spacing w:val="1"/>
          <w:sz w:val="24"/>
          <w:szCs w:val="24"/>
        </w:rPr>
        <w:t xml:space="preserve"> </w:t>
      </w:r>
      <w:r>
        <w:rPr>
          <w:rFonts w:asciiTheme="minorHAnsi" w:hAnsiTheme="minorHAnsi" w:cstheme="minorHAnsi"/>
          <w:sz w:val="24"/>
          <w:szCs w:val="24"/>
        </w:rPr>
        <w:t>στην</w:t>
      </w:r>
      <w:r>
        <w:rPr>
          <w:rFonts w:asciiTheme="minorHAnsi" w:hAnsiTheme="minorHAnsi" w:cstheme="minorHAnsi"/>
          <w:spacing w:val="1"/>
          <w:sz w:val="24"/>
          <w:szCs w:val="24"/>
        </w:rPr>
        <w:t xml:space="preserve"> </w:t>
      </w:r>
      <w:r>
        <w:rPr>
          <w:rFonts w:asciiTheme="minorHAnsi" w:hAnsiTheme="minorHAnsi" w:cstheme="minorHAnsi"/>
          <w:sz w:val="24"/>
          <w:szCs w:val="24"/>
        </w:rPr>
        <w:t>κλιματική</w:t>
      </w:r>
      <w:r>
        <w:rPr>
          <w:rFonts w:asciiTheme="minorHAnsi" w:hAnsiTheme="minorHAnsi" w:cstheme="minorHAnsi"/>
          <w:spacing w:val="1"/>
          <w:sz w:val="24"/>
          <w:szCs w:val="24"/>
        </w:rPr>
        <w:t xml:space="preserve"> </w:t>
      </w:r>
      <w:r>
        <w:rPr>
          <w:rFonts w:asciiTheme="minorHAnsi" w:hAnsiTheme="minorHAnsi" w:cstheme="minorHAnsi"/>
          <w:sz w:val="24"/>
          <w:szCs w:val="24"/>
        </w:rPr>
        <w:t>αλλαγή,</w:t>
      </w:r>
      <w:r>
        <w:rPr>
          <w:rFonts w:asciiTheme="minorHAnsi" w:hAnsiTheme="minorHAnsi" w:cstheme="minorHAnsi"/>
          <w:spacing w:val="1"/>
          <w:sz w:val="24"/>
          <w:szCs w:val="24"/>
        </w:rPr>
        <w:t xml:space="preserve"> </w:t>
      </w:r>
      <w:r>
        <w:rPr>
          <w:rFonts w:asciiTheme="minorHAnsi" w:hAnsiTheme="minorHAnsi" w:cstheme="minorHAnsi"/>
          <w:sz w:val="24"/>
          <w:szCs w:val="24"/>
        </w:rPr>
        <w:t>της</w:t>
      </w:r>
      <w:r>
        <w:rPr>
          <w:rFonts w:asciiTheme="minorHAnsi" w:hAnsiTheme="minorHAnsi" w:cstheme="minorHAnsi"/>
          <w:spacing w:val="1"/>
          <w:sz w:val="24"/>
          <w:szCs w:val="24"/>
        </w:rPr>
        <w:t xml:space="preserve"> </w:t>
      </w:r>
      <w:r>
        <w:rPr>
          <w:rFonts w:asciiTheme="minorHAnsi" w:hAnsiTheme="minorHAnsi" w:cstheme="minorHAnsi"/>
          <w:sz w:val="24"/>
          <w:szCs w:val="24"/>
        </w:rPr>
        <w:t>πρόληψης</w:t>
      </w:r>
      <w:r>
        <w:rPr>
          <w:rFonts w:asciiTheme="minorHAnsi" w:hAnsiTheme="minorHAnsi" w:cstheme="minorHAnsi"/>
          <w:spacing w:val="1"/>
          <w:sz w:val="24"/>
          <w:szCs w:val="24"/>
        </w:rPr>
        <w:t xml:space="preserve"> </w:t>
      </w:r>
      <w:r>
        <w:rPr>
          <w:rFonts w:asciiTheme="minorHAnsi" w:hAnsiTheme="minorHAnsi" w:cstheme="minorHAnsi"/>
          <w:sz w:val="24"/>
          <w:szCs w:val="24"/>
        </w:rPr>
        <w:t>και</w:t>
      </w:r>
      <w:r>
        <w:rPr>
          <w:rFonts w:asciiTheme="minorHAnsi" w:hAnsiTheme="minorHAnsi" w:cstheme="minorHAnsi"/>
          <w:spacing w:val="1"/>
          <w:sz w:val="24"/>
          <w:szCs w:val="24"/>
        </w:rPr>
        <w:t xml:space="preserve"> </w:t>
      </w:r>
      <w:r>
        <w:rPr>
          <w:rFonts w:asciiTheme="minorHAnsi" w:hAnsiTheme="minorHAnsi" w:cstheme="minorHAnsi"/>
          <w:sz w:val="24"/>
          <w:szCs w:val="24"/>
        </w:rPr>
        <w:t>της</w:t>
      </w:r>
      <w:r>
        <w:rPr>
          <w:rFonts w:asciiTheme="minorHAnsi" w:hAnsiTheme="minorHAnsi" w:cstheme="minorHAnsi"/>
          <w:spacing w:val="1"/>
          <w:sz w:val="24"/>
          <w:szCs w:val="24"/>
        </w:rPr>
        <w:t xml:space="preserve"> </w:t>
      </w:r>
      <w:r>
        <w:rPr>
          <w:rFonts w:asciiTheme="minorHAnsi" w:hAnsiTheme="minorHAnsi" w:cstheme="minorHAnsi"/>
          <w:sz w:val="24"/>
          <w:szCs w:val="24"/>
        </w:rPr>
        <w:t>διαχείρισης</w:t>
      </w:r>
      <w:r>
        <w:rPr>
          <w:rFonts w:asciiTheme="minorHAnsi" w:hAnsiTheme="minorHAnsi" w:cstheme="minorHAnsi"/>
          <w:spacing w:val="1"/>
          <w:sz w:val="24"/>
          <w:szCs w:val="24"/>
        </w:rPr>
        <w:t xml:space="preserve"> </w:t>
      </w:r>
      <w:r>
        <w:rPr>
          <w:rFonts w:asciiTheme="minorHAnsi" w:hAnsiTheme="minorHAnsi" w:cstheme="minorHAnsi"/>
          <w:sz w:val="24"/>
          <w:szCs w:val="24"/>
        </w:rPr>
        <w:t xml:space="preserve">των  </w:t>
      </w:r>
      <w:r>
        <w:rPr>
          <w:rFonts w:asciiTheme="minorHAnsi" w:hAnsiTheme="minorHAnsi" w:cstheme="minorHAnsi"/>
          <w:spacing w:val="-47"/>
          <w:sz w:val="24"/>
          <w:szCs w:val="24"/>
        </w:rPr>
        <w:t xml:space="preserve"> </w:t>
      </w:r>
      <w:r>
        <w:rPr>
          <w:rFonts w:asciiTheme="minorHAnsi" w:hAnsiTheme="minorHAnsi" w:cstheme="minorHAnsi"/>
          <w:sz w:val="24"/>
          <w:szCs w:val="24"/>
        </w:rPr>
        <w:t>κινδύνων, μια πιο διασυνδεδεμένη Ευρώπη μέσω της ενίσχυσης της κινητικότητας και των περιφερειακών</w:t>
      </w:r>
      <w:r>
        <w:rPr>
          <w:rFonts w:asciiTheme="minorHAnsi" w:hAnsiTheme="minorHAnsi" w:cstheme="minorHAnsi"/>
          <w:spacing w:val="1"/>
          <w:sz w:val="24"/>
          <w:szCs w:val="24"/>
        </w:rPr>
        <w:t xml:space="preserve"> </w:t>
      </w:r>
      <w:r>
        <w:rPr>
          <w:rFonts w:asciiTheme="minorHAnsi" w:hAnsiTheme="minorHAnsi" w:cstheme="minorHAnsi"/>
          <w:sz w:val="24"/>
          <w:szCs w:val="24"/>
        </w:rPr>
        <w:t>διασυνδέσεων</w:t>
      </w:r>
      <w:r>
        <w:rPr>
          <w:rFonts w:asciiTheme="minorHAnsi" w:hAnsiTheme="minorHAnsi" w:cstheme="minorHAnsi"/>
          <w:spacing w:val="-4"/>
          <w:sz w:val="24"/>
          <w:szCs w:val="24"/>
        </w:rPr>
        <w:t xml:space="preserve"> </w:t>
      </w:r>
      <w:r>
        <w:rPr>
          <w:rFonts w:asciiTheme="minorHAnsi" w:hAnsiTheme="minorHAnsi" w:cstheme="minorHAnsi"/>
          <w:sz w:val="24"/>
          <w:szCs w:val="24"/>
        </w:rPr>
        <w:t>ΤΠΕ,</w:t>
      </w:r>
    </w:p>
    <w:p w14:paraId="3B520DCE" w14:textId="77777777" w:rsidR="002A2422" w:rsidRDefault="003B3AD7">
      <w:pPr>
        <w:pStyle w:val="ad"/>
        <w:widowControl w:val="0"/>
        <w:numPr>
          <w:ilvl w:val="0"/>
          <w:numId w:val="24"/>
        </w:numPr>
        <w:tabs>
          <w:tab w:val="left" w:pos="1394"/>
        </w:tabs>
        <w:autoSpaceDE w:val="0"/>
        <w:autoSpaceDN w:val="0"/>
        <w:ind w:left="721" w:right="694"/>
        <w:contextualSpacing w:val="0"/>
        <w:jc w:val="both"/>
        <w:rPr>
          <w:rFonts w:asciiTheme="minorHAnsi" w:hAnsiTheme="minorHAnsi" w:cstheme="minorHAnsi"/>
          <w:sz w:val="24"/>
          <w:szCs w:val="24"/>
        </w:rPr>
      </w:pPr>
      <w:r>
        <w:rPr>
          <w:rFonts w:asciiTheme="minorHAnsi" w:hAnsiTheme="minorHAnsi" w:cstheme="minorHAnsi"/>
          <w:sz w:val="24"/>
          <w:szCs w:val="24"/>
        </w:rPr>
        <w:lastRenderedPageBreak/>
        <w:t>μια</w:t>
      </w:r>
      <w:r>
        <w:rPr>
          <w:rFonts w:asciiTheme="minorHAnsi" w:hAnsiTheme="minorHAnsi" w:cstheme="minorHAnsi"/>
          <w:spacing w:val="1"/>
          <w:sz w:val="24"/>
          <w:szCs w:val="24"/>
        </w:rPr>
        <w:t xml:space="preserve"> </w:t>
      </w:r>
      <w:r>
        <w:rPr>
          <w:rFonts w:asciiTheme="minorHAnsi" w:hAnsiTheme="minorHAnsi" w:cstheme="minorHAnsi"/>
          <w:sz w:val="24"/>
          <w:szCs w:val="24"/>
        </w:rPr>
        <w:t>πιο</w:t>
      </w:r>
      <w:r>
        <w:rPr>
          <w:rFonts w:asciiTheme="minorHAnsi" w:hAnsiTheme="minorHAnsi" w:cstheme="minorHAnsi"/>
          <w:spacing w:val="1"/>
          <w:sz w:val="24"/>
          <w:szCs w:val="24"/>
        </w:rPr>
        <w:t xml:space="preserve"> </w:t>
      </w:r>
      <w:r>
        <w:rPr>
          <w:rFonts w:asciiTheme="minorHAnsi" w:hAnsiTheme="minorHAnsi" w:cstheme="minorHAnsi"/>
          <w:sz w:val="24"/>
          <w:szCs w:val="24"/>
        </w:rPr>
        <w:t>κοινωνική</w:t>
      </w:r>
      <w:r>
        <w:rPr>
          <w:rFonts w:asciiTheme="minorHAnsi" w:hAnsiTheme="minorHAnsi" w:cstheme="minorHAnsi"/>
          <w:spacing w:val="1"/>
          <w:sz w:val="24"/>
          <w:szCs w:val="24"/>
        </w:rPr>
        <w:t xml:space="preserve"> </w:t>
      </w:r>
      <w:r>
        <w:rPr>
          <w:rFonts w:asciiTheme="minorHAnsi" w:hAnsiTheme="minorHAnsi" w:cstheme="minorHAnsi"/>
          <w:sz w:val="24"/>
          <w:szCs w:val="24"/>
        </w:rPr>
        <w:t>Ευρώπη</w:t>
      </w:r>
      <w:r>
        <w:rPr>
          <w:rFonts w:asciiTheme="minorHAnsi" w:hAnsiTheme="minorHAnsi" w:cstheme="minorHAnsi"/>
          <w:spacing w:val="1"/>
          <w:sz w:val="24"/>
          <w:szCs w:val="24"/>
        </w:rPr>
        <w:t xml:space="preserve"> </w:t>
      </w:r>
      <w:r>
        <w:rPr>
          <w:rFonts w:asciiTheme="minorHAnsi" w:hAnsiTheme="minorHAnsi" w:cstheme="minorHAnsi"/>
          <w:sz w:val="24"/>
          <w:szCs w:val="24"/>
        </w:rPr>
        <w:t>μέσω</w:t>
      </w:r>
      <w:r>
        <w:rPr>
          <w:rFonts w:asciiTheme="minorHAnsi" w:hAnsiTheme="minorHAnsi" w:cstheme="minorHAnsi"/>
          <w:spacing w:val="1"/>
          <w:sz w:val="24"/>
          <w:szCs w:val="24"/>
        </w:rPr>
        <w:t xml:space="preserve"> </w:t>
      </w:r>
      <w:r>
        <w:rPr>
          <w:rFonts w:asciiTheme="minorHAnsi" w:hAnsiTheme="minorHAnsi" w:cstheme="minorHAnsi"/>
          <w:sz w:val="24"/>
          <w:szCs w:val="24"/>
        </w:rPr>
        <w:t>της</w:t>
      </w:r>
      <w:r>
        <w:rPr>
          <w:rFonts w:asciiTheme="minorHAnsi" w:hAnsiTheme="minorHAnsi" w:cstheme="minorHAnsi"/>
          <w:spacing w:val="1"/>
          <w:sz w:val="24"/>
          <w:szCs w:val="24"/>
        </w:rPr>
        <w:t xml:space="preserve"> </w:t>
      </w:r>
      <w:r>
        <w:rPr>
          <w:rFonts w:asciiTheme="minorHAnsi" w:hAnsiTheme="minorHAnsi" w:cstheme="minorHAnsi"/>
          <w:sz w:val="24"/>
          <w:szCs w:val="24"/>
        </w:rPr>
        <w:t>υλοποίησης</w:t>
      </w:r>
      <w:r>
        <w:rPr>
          <w:rFonts w:asciiTheme="minorHAnsi" w:hAnsiTheme="minorHAnsi" w:cstheme="minorHAnsi"/>
          <w:spacing w:val="1"/>
          <w:sz w:val="24"/>
          <w:szCs w:val="24"/>
        </w:rPr>
        <w:t xml:space="preserve"> </w:t>
      </w:r>
      <w:r>
        <w:rPr>
          <w:rFonts w:asciiTheme="minorHAnsi" w:hAnsiTheme="minorHAnsi" w:cstheme="minorHAnsi"/>
          <w:sz w:val="24"/>
          <w:szCs w:val="24"/>
        </w:rPr>
        <w:t>του</w:t>
      </w:r>
      <w:r>
        <w:rPr>
          <w:rFonts w:asciiTheme="minorHAnsi" w:hAnsiTheme="minorHAnsi" w:cstheme="minorHAnsi"/>
          <w:spacing w:val="1"/>
          <w:sz w:val="24"/>
          <w:szCs w:val="24"/>
        </w:rPr>
        <w:t xml:space="preserve"> </w:t>
      </w:r>
      <w:r>
        <w:rPr>
          <w:rFonts w:asciiTheme="minorHAnsi" w:hAnsiTheme="minorHAnsi" w:cstheme="minorHAnsi"/>
          <w:sz w:val="24"/>
          <w:szCs w:val="24"/>
        </w:rPr>
        <w:t>ευρωπαϊκού</w:t>
      </w:r>
      <w:r>
        <w:rPr>
          <w:rFonts w:asciiTheme="minorHAnsi" w:hAnsiTheme="minorHAnsi" w:cstheme="minorHAnsi"/>
          <w:spacing w:val="1"/>
          <w:sz w:val="24"/>
          <w:szCs w:val="24"/>
        </w:rPr>
        <w:t xml:space="preserve"> </w:t>
      </w:r>
      <w:r>
        <w:rPr>
          <w:rFonts w:asciiTheme="minorHAnsi" w:hAnsiTheme="minorHAnsi" w:cstheme="minorHAnsi"/>
          <w:sz w:val="24"/>
          <w:szCs w:val="24"/>
        </w:rPr>
        <w:t>πυλώνα</w:t>
      </w:r>
      <w:r>
        <w:rPr>
          <w:rFonts w:asciiTheme="minorHAnsi" w:hAnsiTheme="minorHAnsi" w:cstheme="minorHAnsi"/>
          <w:spacing w:val="1"/>
          <w:sz w:val="24"/>
          <w:szCs w:val="24"/>
        </w:rPr>
        <w:t xml:space="preserve"> </w:t>
      </w:r>
      <w:r>
        <w:rPr>
          <w:rFonts w:asciiTheme="minorHAnsi" w:hAnsiTheme="minorHAnsi" w:cstheme="minorHAnsi"/>
          <w:sz w:val="24"/>
          <w:szCs w:val="24"/>
        </w:rPr>
        <w:t>κοινωνικών</w:t>
      </w:r>
      <w:r>
        <w:rPr>
          <w:rFonts w:asciiTheme="minorHAnsi" w:hAnsiTheme="minorHAnsi" w:cstheme="minorHAnsi"/>
          <w:spacing w:val="1"/>
          <w:sz w:val="24"/>
          <w:szCs w:val="24"/>
        </w:rPr>
        <w:t xml:space="preserve"> </w:t>
      </w:r>
      <w:r>
        <w:rPr>
          <w:rFonts w:asciiTheme="minorHAnsi" w:hAnsiTheme="minorHAnsi" w:cstheme="minorHAnsi"/>
          <w:sz w:val="24"/>
          <w:szCs w:val="24"/>
        </w:rPr>
        <w:t>δικαιωμάτων,</w:t>
      </w:r>
    </w:p>
    <w:p w14:paraId="55E86EAD" w14:textId="77777777" w:rsidR="002A2422" w:rsidRDefault="003B3AD7">
      <w:pPr>
        <w:pStyle w:val="ad"/>
        <w:widowControl w:val="0"/>
        <w:numPr>
          <w:ilvl w:val="0"/>
          <w:numId w:val="24"/>
        </w:numPr>
        <w:tabs>
          <w:tab w:val="left" w:pos="1394"/>
        </w:tabs>
        <w:autoSpaceDE w:val="0"/>
        <w:autoSpaceDN w:val="0"/>
        <w:ind w:left="721" w:right="689"/>
        <w:contextualSpacing w:val="0"/>
        <w:jc w:val="both"/>
        <w:rPr>
          <w:rFonts w:asciiTheme="minorHAnsi" w:hAnsiTheme="minorHAnsi" w:cstheme="minorHAnsi"/>
          <w:sz w:val="24"/>
          <w:szCs w:val="24"/>
        </w:rPr>
      </w:pPr>
      <w:r>
        <w:rPr>
          <w:rFonts w:asciiTheme="minorHAnsi" w:hAnsiTheme="minorHAnsi" w:cstheme="minorHAnsi"/>
          <w:sz w:val="24"/>
          <w:szCs w:val="24"/>
        </w:rPr>
        <w:t>μια Ευρώπη πιο κοντά στους πολίτες της μέσω της προώθησης της βιώσιμης και ολοκληρωμένης</w:t>
      </w:r>
      <w:r>
        <w:rPr>
          <w:rFonts w:asciiTheme="minorHAnsi" w:hAnsiTheme="minorHAnsi" w:cstheme="minorHAnsi"/>
          <w:spacing w:val="1"/>
          <w:sz w:val="24"/>
          <w:szCs w:val="24"/>
        </w:rPr>
        <w:t xml:space="preserve"> </w:t>
      </w:r>
      <w:r>
        <w:rPr>
          <w:rFonts w:asciiTheme="minorHAnsi" w:hAnsiTheme="minorHAnsi" w:cstheme="minorHAnsi"/>
          <w:sz w:val="24"/>
          <w:szCs w:val="24"/>
        </w:rPr>
        <w:t>ανάπτυξης</w:t>
      </w:r>
      <w:r>
        <w:rPr>
          <w:rFonts w:asciiTheme="minorHAnsi" w:hAnsiTheme="minorHAnsi" w:cstheme="minorHAnsi"/>
          <w:spacing w:val="-8"/>
          <w:sz w:val="24"/>
          <w:szCs w:val="24"/>
        </w:rPr>
        <w:t xml:space="preserve"> </w:t>
      </w:r>
      <w:r>
        <w:rPr>
          <w:rFonts w:asciiTheme="minorHAnsi" w:hAnsiTheme="minorHAnsi" w:cstheme="minorHAnsi"/>
          <w:sz w:val="24"/>
          <w:szCs w:val="24"/>
        </w:rPr>
        <w:t>των</w:t>
      </w:r>
      <w:r>
        <w:rPr>
          <w:rFonts w:asciiTheme="minorHAnsi" w:hAnsiTheme="minorHAnsi" w:cstheme="minorHAnsi"/>
          <w:spacing w:val="-9"/>
          <w:sz w:val="24"/>
          <w:szCs w:val="24"/>
        </w:rPr>
        <w:t xml:space="preserve"> </w:t>
      </w:r>
      <w:r>
        <w:rPr>
          <w:rFonts w:asciiTheme="minorHAnsi" w:hAnsiTheme="minorHAnsi" w:cstheme="minorHAnsi"/>
          <w:sz w:val="24"/>
          <w:szCs w:val="24"/>
        </w:rPr>
        <w:t>αστικών,</w:t>
      </w:r>
      <w:r>
        <w:rPr>
          <w:rFonts w:asciiTheme="minorHAnsi" w:hAnsiTheme="minorHAnsi" w:cstheme="minorHAnsi"/>
          <w:spacing w:val="-9"/>
          <w:sz w:val="24"/>
          <w:szCs w:val="24"/>
        </w:rPr>
        <w:t xml:space="preserve"> </w:t>
      </w:r>
      <w:r>
        <w:rPr>
          <w:rFonts w:asciiTheme="minorHAnsi" w:hAnsiTheme="minorHAnsi" w:cstheme="minorHAnsi"/>
          <w:sz w:val="24"/>
          <w:szCs w:val="24"/>
        </w:rPr>
        <w:t>αγροτικών</w:t>
      </w:r>
      <w:r>
        <w:rPr>
          <w:rFonts w:asciiTheme="minorHAnsi" w:hAnsiTheme="minorHAnsi" w:cstheme="minorHAnsi"/>
          <w:spacing w:val="-9"/>
          <w:sz w:val="24"/>
          <w:szCs w:val="24"/>
        </w:rPr>
        <w:t xml:space="preserve"> </w:t>
      </w:r>
      <w:r>
        <w:rPr>
          <w:rFonts w:asciiTheme="minorHAnsi" w:hAnsiTheme="minorHAnsi" w:cstheme="minorHAnsi"/>
          <w:sz w:val="24"/>
          <w:szCs w:val="24"/>
        </w:rPr>
        <w:t>και</w:t>
      </w:r>
      <w:r>
        <w:rPr>
          <w:rFonts w:asciiTheme="minorHAnsi" w:hAnsiTheme="minorHAnsi" w:cstheme="minorHAnsi"/>
          <w:spacing w:val="-9"/>
          <w:sz w:val="24"/>
          <w:szCs w:val="24"/>
        </w:rPr>
        <w:t xml:space="preserve"> </w:t>
      </w:r>
      <w:r>
        <w:rPr>
          <w:rFonts w:asciiTheme="minorHAnsi" w:hAnsiTheme="minorHAnsi" w:cstheme="minorHAnsi"/>
          <w:sz w:val="24"/>
          <w:szCs w:val="24"/>
        </w:rPr>
        <w:t>παράκτιων</w:t>
      </w:r>
      <w:r>
        <w:rPr>
          <w:rFonts w:asciiTheme="minorHAnsi" w:hAnsiTheme="minorHAnsi" w:cstheme="minorHAnsi"/>
          <w:spacing w:val="-9"/>
          <w:sz w:val="24"/>
          <w:szCs w:val="24"/>
        </w:rPr>
        <w:t xml:space="preserve"> </w:t>
      </w:r>
      <w:r>
        <w:rPr>
          <w:rFonts w:asciiTheme="minorHAnsi" w:hAnsiTheme="minorHAnsi" w:cstheme="minorHAnsi"/>
          <w:sz w:val="24"/>
          <w:szCs w:val="24"/>
        </w:rPr>
        <w:t>περιοχών,</w:t>
      </w:r>
      <w:r>
        <w:rPr>
          <w:rFonts w:asciiTheme="minorHAnsi" w:hAnsiTheme="minorHAnsi" w:cstheme="minorHAnsi"/>
          <w:spacing w:val="-8"/>
          <w:sz w:val="24"/>
          <w:szCs w:val="24"/>
        </w:rPr>
        <w:t xml:space="preserve"> </w:t>
      </w:r>
      <w:r>
        <w:rPr>
          <w:rFonts w:asciiTheme="minorHAnsi" w:hAnsiTheme="minorHAnsi" w:cstheme="minorHAnsi"/>
          <w:sz w:val="24"/>
          <w:szCs w:val="24"/>
        </w:rPr>
        <w:t>καθώς</w:t>
      </w:r>
      <w:r>
        <w:rPr>
          <w:rFonts w:asciiTheme="minorHAnsi" w:hAnsiTheme="minorHAnsi" w:cstheme="minorHAnsi"/>
          <w:spacing w:val="-8"/>
          <w:sz w:val="24"/>
          <w:szCs w:val="24"/>
        </w:rPr>
        <w:t xml:space="preserve"> </w:t>
      </w:r>
      <w:r>
        <w:rPr>
          <w:rFonts w:asciiTheme="minorHAnsi" w:hAnsiTheme="minorHAnsi" w:cstheme="minorHAnsi"/>
          <w:sz w:val="24"/>
          <w:szCs w:val="24"/>
        </w:rPr>
        <w:t>και</w:t>
      </w:r>
      <w:r>
        <w:rPr>
          <w:rFonts w:asciiTheme="minorHAnsi" w:hAnsiTheme="minorHAnsi" w:cstheme="minorHAnsi"/>
          <w:spacing w:val="-8"/>
          <w:sz w:val="24"/>
          <w:szCs w:val="24"/>
        </w:rPr>
        <w:t xml:space="preserve"> </w:t>
      </w:r>
      <w:r>
        <w:rPr>
          <w:rFonts w:asciiTheme="minorHAnsi" w:hAnsiTheme="minorHAnsi" w:cstheme="minorHAnsi"/>
          <w:sz w:val="24"/>
          <w:szCs w:val="24"/>
        </w:rPr>
        <w:t>μέσω</w:t>
      </w:r>
      <w:r>
        <w:rPr>
          <w:rFonts w:asciiTheme="minorHAnsi" w:hAnsiTheme="minorHAnsi" w:cstheme="minorHAnsi"/>
          <w:spacing w:val="-9"/>
          <w:sz w:val="24"/>
          <w:szCs w:val="24"/>
        </w:rPr>
        <w:t xml:space="preserve"> </w:t>
      </w:r>
      <w:r>
        <w:rPr>
          <w:rFonts w:asciiTheme="minorHAnsi" w:hAnsiTheme="minorHAnsi" w:cstheme="minorHAnsi"/>
          <w:sz w:val="24"/>
          <w:szCs w:val="24"/>
        </w:rPr>
        <w:t>της</w:t>
      </w:r>
      <w:r>
        <w:rPr>
          <w:rFonts w:asciiTheme="minorHAnsi" w:hAnsiTheme="minorHAnsi" w:cstheme="minorHAnsi"/>
          <w:spacing w:val="-10"/>
          <w:sz w:val="24"/>
          <w:szCs w:val="24"/>
        </w:rPr>
        <w:t xml:space="preserve"> </w:t>
      </w:r>
      <w:r>
        <w:rPr>
          <w:rFonts w:asciiTheme="minorHAnsi" w:hAnsiTheme="minorHAnsi" w:cstheme="minorHAnsi"/>
          <w:sz w:val="24"/>
          <w:szCs w:val="24"/>
        </w:rPr>
        <w:t>στήριξης</w:t>
      </w:r>
      <w:r>
        <w:rPr>
          <w:rFonts w:asciiTheme="minorHAnsi" w:hAnsiTheme="minorHAnsi" w:cstheme="minorHAnsi"/>
          <w:spacing w:val="-11"/>
          <w:sz w:val="24"/>
          <w:szCs w:val="24"/>
        </w:rPr>
        <w:t xml:space="preserve"> </w:t>
      </w:r>
      <w:r>
        <w:rPr>
          <w:rFonts w:asciiTheme="minorHAnsi" w:hAnsiTheme="minorHAnsi" w:cstheme="minorHAnsi"/>
          <w:sz w:val="24"/>
          <w:szCs w:val="24"/>
        </w:rPr>
        <w:t xml:space="preserve">τοπικών </w:t>
      </w:r>
      <w:r>
        <w:rPr>
          <w:rFonts w:asciiTheme="minorHAnsi" w:hAnsiTheme="minorHAnsi" w:cstheme="minorHAnsi"/>
          <w:spacing w:val="-47"/>
          <w:sz w:val="24"/>
          <w:szCs w:val="24"/>
        </w:rPr>
        <w:t xml:space="preserve"> </w:t>
      </w:r>
      <w:r>
        <w:rPr>
          <w:rFonts w:asciiTheme="minorHAnsi" w:hAnsiTheme="minorHAnsi" w:cstheme="minorHAnsi"/>
          <w:sz w:val="24"/>
          <w:szCs w:val="24"/>
        </w:rPr>
        <w:t>πρωτοβουλιών.</w:t>
      </w:r>
    </w:p>
    <w:p w14:paraId="50EAD0B1" w14:textId="77777777" w:rsidR="002A2422" w:rsidRDefault="002A2422">
      <w:pPr>
        <w:rPr>
          <w:rFonts w:asciiTheme="minorHAnsi" w:hAnsiTheme="minorHAnsi" w:cstheme="minorHAnsi"/>
          <w:sz w:val="24"/>
          <w:szCs w:val="24"/>
        </w:rPr>
      </w:pPr>
    </w:p>
    <w:p w14:paraId="5B54FB14" w14:textId="77777777" w:rsidR="002A2422" w:rsidRDefault="003B3AD7">
      <w:pPr>
        <w:pStyle w:val="1"/>
      </w:pPr>
      <w:bookmarkStart w:id="74" w:name="_Toc73665493"/>
      <w:r>
        <w:t>Οριζόντιες Αρχές</w:t>
      </w:r>
      <w:bookmarkEnd w:id="74"/>
    </w:p>
    <w:p w14:paraId="663113DE" w14:textId="77777777" w:rsidR="002A2422" w:rsidRDefault="003B3AD7">
      <w:pPr>
        <w:rPr>
          <w:rFonts w:asciiTheme="minorHAnsi" w:hAnsiTheme="minorHAnsi" w:cstheme="minorHAnsi"/>
          <w:b/>
          <w:sz w:val="24"/>
          <w:szCs w:val="24"/>
        </w:rPr>
      </w:pPr>
      <w:r>
        <w:rPr>
          <w:rFonts w:asciiTheme="minorHAnsi" w:hAnsiTheme="minorHAnsi" w:cstheme="minorHAnsi"/>
          <w:b/>
          <w:sz w:val="24"/>
          <w:szCs w:val="24"/>
        </w:rPr>
        <w:t>Συμβολή ΤΠΑ στη βιώσιμη ανάπτυξη</w:t>
      </w:r>
    </w:p>
    <w:p w14:paraId="03D4112E" w14:textId="77777777" w:rsidR="002A2422" w:rsidRDefault="003B3AD7">
      <w:pPr>
        <w:rPr>
          <w:rFonts w:asciiTheme="minorHAnsi" w:hAnsiTheme="minorHAnsi" w:cstheme="minorHAnsi"/>
          <w:sz w:val="24"/>
          <w:szCs w:val="24"/>
        </w:rPr>
      </w:pPr>
      <w:r>
        <w:rPr>
          <w:rFonts w:asciiTheme="minorHAnsi" w:hAnsiTheme="minorHAnsi" w:cstheme="minorHAnsi"/>
          <w:sz w:val="24"/>
          <w:szCs w:val="24"/>
        </w:rPr>
        <w:t>Οι προτεινόμενες κατηγορίες παρεμβάσεων στο ΤΠΑ του ΥΠΠΟΑ λαμβάνουν υπόψη τους , τέσσερις πυλώνες της βιώσιμης ανάπτυξης: περιβαλλοντική αειφορία, οικονομική βιωσιμότητα, κοινωνική δικαιοσύνη, καθώς και την πολιτιστική ανάπτυξη. Στο ΤΠΑ δίνεται έμφαση στην οικολογική βιωσιμότητα των πολιτιστικών υποδομών, την αξιοποίηση των δυνατοτήτων της κυκλικής οικονομίας, την ενίσχυση της βιωσιμότητας των πολιτιστικών εγχειρημάτων παρέχοντας νέες ποιοτικές θέσεις εργασίας, καθώς και η πρόσβαση χωρίς αποκλεισμούς στα πολιτιστικά αγαθά. Συνολικά, τα έργα και οι δράσεις του ΤΠΑ συμβάλλουν στην οικονομική ανάπτυξη με τρόπο φιλικό στο περιβάλλον, την κοινωνική συνοχή και τις τοπικές κοινότητες, ενισχύοντας την κοινωνική ευημερία και συμβάλλοντας στη αλλαγή του παραγωγικού υποδείγματος της ελληνικής οικονομίας.</w:t>
      </w:r>
    </w:p>
    <w:p w14:paraId="79A3C9E7" w14:textId="77777777" w:rsidR="002A2422" w:rsidRDefault="002A2422">
      <w:pPr>
        <w:rPr>
          <w:rFonts w:asciiTheme="minorHAnsi" w:hAnsiTheme="minorHAnsi" w:cstheme="minorHAnsi"/>
          <w:sz w:val="24"/>
          <w:szCs w:val="24"/>
        </w:rPr>
      </w:pPr>
    </w:p>
    <w:p w14:paraId="1B85ABF7" w14:textId="77777777" w:rsidR="002A2422" w:rsidRDefault="002A2422">
      <w:pPr>
        <w:rPr>
          <w:rFonts w:asciiTheme="minorHAnsi" w:hAnsiTheme="minorHAnsi" w:cstheme="minorHAnsi"/>
          <w:sz w:val="24"/>
          <w:szCs w:val="24"/>
        </w:rPr>
      </w:pPr>
    </w:p>
    <w:p w14:paraId="7222DEBF" w14:textId="77777777" w:rsidR="002A2422" w:rsidRDefault="002A2422">
      <w:pPr>
        <w:rPr>
          <w:rFonts w:asciiTheme="minorHAnsi" w:hAnsiTheme="minorHAnsi" w:cstheme="minorHAnsi"/>
          <w:sz w:val="24"/>
          <w:szCs w:val="24"/>
        </w:rPr>
      </w:pPr>
    </w:p>
    <w:p w14:paraId="3EC8322F" w14:textId="77777777" w:rsidR="002A2422" w:rsidRDefault="003B3AD7">
      <w:pPr>
        <w:rPr>
          <w:rFonts w:asciiTheme="minorHAnsi" w:hAnsiTheme="minorHAnsi" w:cstheme="minorHAnsi"/>
          <w:b/>
          <w:bCs/>
          <w:sz w:val="24"/>
          <w:szCs w:val="24"/>
        </w:rPr>
      </w:pPr>
      <w:r>
        <w:rPr>
          <w:rFonts w:asciiTheme="minorHAnsi" w:hAnsiTheme="minorHAnsi" w:cstheme="minorHAnsi"/>
          <w:b/>
          <w:bCs/>
          <w:sz w:val="24"/>
          <w:szCs w:val="24"/>
        </w:rPr>
        <w:t>Συμβολή ΤΠΑ στην ισότητα ευκαιριών και κατάργηση των διακρίσεων</w:t>
      </w:r>
    </w:p>
    <w:p w14:paraId="213A0506" w14:textId="77777777" w:rsidR="002A2422" w:rsidRDefault="003B3AD7">
      <w:pPr>
        <w:rPr>
          <w:rFonts w:asciiTheme="minorHAnsi" w:hAnsiTheme="minorHAnsi" w:cstheme="minorHAnsi"/>
          <w:sz w:val="24"/>
          <w:szCs w:val="24"/>
        </w:rPr>
      </w:pPr>
      <w:r>
        <w:rPr>
          <w:rFonts w:asciiTheme="minorHAnsi" w:hAnsiTheme="minorHAnsi" w:cstheme="minorHAnsi"/>
          <w:sz w:val="24"/>
          <w:szCs w:val="24"/>
        </w:rPr>
        <w:t>Η ισότιμη, χωρίς αποκλεισμούς πρόσβαση στα πολιτιστικά αγαθά ανεξάρτητα από την οικονομική και κοινωνική θέση, φυλετικής ή εθνικής καταγωγής, θρησκείας, σωματικής ικανότητας, ηλικίας, φύλου και σεξουαλικού προσανατολισμού βρίσκεται εντός της στρατηγικής του ΥΠΠΟΑ και στο Τομεακό Πρόγραμμα Ανάπτυξης.</w:t>
      </w:r>
    </w:p>
    <w:p w14:paraId="49DF89C0" w14:textId="77777777" w:rsidR="002A2422" w:rsidRDefault="002A2422">
      <w:pPr>
        <w:rPr>
          <w:rFonts w:asciiTheme="minorHAnsi" w:hAnsiTheme="minorHAnsi" w:cstheme="minorHAnsi"/>
          <w:sz w:val="24"/>
          <w:szCs w:val="24"/>
        </w:rPr>
      </w:pPr>
    </w:p>
    <w:p w14:paraId="1FB46B09" w14:textId="77777777" w:rsidR="002A2422" w:rsidRDefault="003B3AD7">
      <w:pPr>
        <w:rPr>
          <w:rFonts w:asciiTheme="minorHAnsi" w:hAnsiTheme="minorHAnsi" w:cstheme="minorHAnsi"/>
          <w:b/>
          <w:sz w:val="24"/>
          <w:szCs w:val="24"/>
        </w:rPr>
      </w:pPr>
      <w:r>
        <w:rPr>
          <w:rFonts w:asciiTheme="minorHAnsi" w:hAnsiTheme="minorHAnsi" w:cstheme="minorHAnsi"/>
          <w:b/>
          <w:sz w:val="24"/>
          <w:szCs w:val="24"/>
        </w:rPr>
        <w:t>Αναμενομένη επίπτωση στο περιβάλλον</w:t>
      </w:r>
    </w:p>
    <w:p w14:paraId="677AFB67" w14:textId="77777777" w:rsidR="002A2422" w:rsidRDefault="003B3AD7">
      <w:pPr>
        <w:rPr>
          <w:rFonts w:asciiTheme="minorHAnsi" w:hAnsiTheme="minorHAnsi" w:cstheme="minorHAnsi"/>
          <w:sz w:val="24"/>
          <w:szCs w:val="24"/>
        </w:rPr>
      </w:pPr>
      <w:r>
        <w:rPr>
          <w:rFonts w:asciiTheme="minorHAnsi" w:hAnsiTheme="minorHAnsi" w:cstheme="minorHAnsi"/>
          <w:sz w:val="24"/>
          <w:szCs w:val="24"/>
        </w:rPr>
        <w:t xml:space="preserve">Η πρόκληση της κλιματικής αλλαγής καθιστά κρίσιμη τη διάσταση της περιβαλλοντικής προστασίας. Οι επιπτώσεις των παρεμβάσεων του ΥΠΠΟΑ θα πρέπει να έχουν ουδέτερο ή θετικό περιβαλλοντικό αποτύπωμα, ενώ ειδικά η αναβάθμιση των υφιστάμενων υποδομών και η </w:t>
      </w:r>
      <w:r>
        <w:rPr>
          <w:rFonts w:asciiTheme="minorHAnsi" w:hAnsiTheme="minorHAnsi" w:cstheme="minorHAnsi"/>
          <w:sz w:val="24"/>
          <w:szCs w:val="24"/>
        </w:rPr>
        <w:lastRenderedPageBreak/>
        <w:t>κατασκευή νέων θα πρέπει να συμβάλει στην ενεργειακή εξοικονόμηση. Τα προς χρηματοδότηση έργα του του ΤΠΑ του ΥΠΠΟΑ θα φέρουν όλες τις απαιτούμενες περιβαλλοντικές μελέτες σύμφωνα με το ισχύον θεσμικό πλαίσιο. Το ΥΠΠΟΑ διερευνά σε συνεργασία με το Υπουργείο Περιβάλλοντος και Ενέργειας την αναγκαιότητα ή την υποχρέωση για την εκτίμηση των περιβαλλοντικών επιπτώσεων του προγράμματος, ώστε να προβεί σε όλες τις προβλεπόμενες ενέργειες στην περίπτωση που αυτό κριθεί αναγκαίο.</w:t>
      </w:r>
    </w:p>
    <w:p w14:paraId="740B9507" w14:textId="77777777" w:rsidR="002A2422" w:rsidRDefault="002A2422">
      <w:pPr>
        <w:rPr>
          <w:rFonts w:asciiTheme="minorHAnsi" w:hAnsiTheme="minorHAnsi" w:cstheme="minorHAnsi"/>
          <w:sz w:val="24"/>
          <w:szCs w:val="24"/>
        </w:rPr>
      </w:pPr>
    </w:p>
    <w:p w14:paraId="7B611BFC" w14:textId="77777777" w:rsidR="002A2422" w:rsidRDefault="003B3AD7">
      <w:pPr>
        <w:pStyle w:val="1"/>
      </w:pPr>
      <w:bookmarkStart w:id="75" w:name="bookmark11"/>
      <w:bookmarkStart w:id="76" w:name="_Toc73665494"/>
      <w:bookmarkStart w:id="77" w:name="bookmark10"/>
      <w:bookmarkStart w:id="78" w:name="_Toc68011215"/>
      <w:r>
        <w:rPr>
          <w:rStyle w:val="Heading10"/>
          <w:rFonts w:asciiTheme="minorHAnsi" w:hAnsiTheme="minorHAnsi" w:cstheme="minorHAnsi"/>
          <w:sz w:val="28"/>
          <w:szCs w:val="28"/>
        </w:rPr>
        <w:t>Υπηρεσίες Διαχείρισης του Προγράμματος - Οργάνωση και Αρμοδιότητες - Θεσμικό Πλαίσιο</w:t>
      </w:r>
      <w:bookmarkEnd w:id="75"/>
      <w:bookmarkEnd w:id="76"/>
      <w:bookmarkEnd w:id="77"/>
      <w:bookmarkEnd w:id="78"/>
    </w:p>
    <w:p w14:paraId="577B88DC"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Για να επιτευχθεί το ζητούμενο της μεταρρύθμισης στον προγραμματισμό και τη διαχείριση των εθνικών πόρων του ΠΔΕ, όπως προβλέπεται στον ν. 4635/2019, πρέπει οι φορείς που θα ορισθούν ως Υπηρεσίες Διαχείρισης για τη διαχείριση του ΤΠΑ, να διαθέτουν την κατάλληλη διοικητική ικανότητα. Αυτό απαιτείται γιατί οι ανάγκες που πρέπει να καλυφθούν είναι -σε πολλές περιπτώσεις- νέες και πιθανόν να μην υπάρχει αντίστοιχη τεχνογνωσία στις υφιστάμενες υπηρεσίες. Η διοικητική ικανότητα εκτιμάται κυρίως με το κριτήριο της επάρκειας της οργανωτικής δομής ή και των εμπλεκόμενων υπηρεσιών που θα συμμετέχουν στην διαχείριση των ανατιθέμενων πόρων του ΤΠΑ.</w:t>
      </w:r>
    </w:p>
    <w:p w14:paraId="393E3292"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Η υποχρέωση κάλυψης του παραπάνω κριτηρίου αφορά στην ελάχιστη αναγκαία για τη διαχείριση του προγράμματος υπηρεσιακή οργάνωση του προτεινόμενου φορέα διαχείρισης.</w:t>
      </w:r>
    </w:p>
    <w:p w14:paraId="2226CBEE"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Για την εκτίμηση της οργανωτικής επάρκειας του φορέα είναι σκόπιμο το σύνολο των διευθύνσεων και τμημάτων που εμπλέκονται στα στάδια διαχείρισης του προγράμματος να είναι διακριτά, καθώς επίσης και τα όργανα λήψης αποφάσεων, όπου απαιτείται.</w:t>
      </w:r>
    </w:p>
    <w:p w14:paraId="456A287A"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Η διοικητική ικανότητα των φορέων που θα υλοποιήσουν το εγκεκριμένο πρόγραμμα ΤΠΑ, αξιολογείται, λαμβάνοντας υπόψη τα ακόλουθα:</w:t>
      </w:r>
    </w:p>
    <w:p w14:paraId="149FA0F2" w14:textId="77777777" w:rsidR="002A2422" w:rsidRDefault="003B3AD7">
      <w:pPr>
        <w:pStyle w:val="14"/>
        <w:numPr>
          <w:ilvl w:val="0"/>
          <w:numId w:val="25"/>
        </w:numPr>
        <w:shd w:val="clear" w:color="auto" w:fill="auto"/>
        <w:spacing w:before="60" w:after="60" w:line="360" w:lineRule="auto"/>
        <w:ind w:left="740" w:right="20" w:hanging="340"/>
        <w:rPr>
          <w:rFonts w:asciiTheme="minorHAnsi" w:hAnsiTheme="minorHAnsi" w:cstheme="minorHAnsi"/>
          <w:sz w:val="24"/>
          <w:szCs w:val="24"/>
        </w:rPr>
      </w:pPr>
      <w:r>
        <w:rPr>
          <w:rFonts w:asciiTheme="minorHAnsi" w:hAnsiTheme="minorHAnsi" w:cstheme="minorHAnsi"/>
          <w:sz w:val="24"/>
          <w:szCs w:val="24"/>
        </w:rPr>
        <w:t xml:space="preserve"> Το Οργανόγραμμα του φορέα, που θα αποτυπώνει με επαρκή ανάλυση τις λειτουργίες των εμπλεκόμενων υπηρεσιών/διευθύνσεων/τμημάτων/υπηρεσιακών μονάδων, που θα είναι υπεύθυνες για τα διάφορα στάδια διαχείρισης του προγράμματος.</w:t>
      </w:r>
    </w:p>
    <w:p w14:paraId="4AEE2879" w14:textId="77777777" w:rsidR="002A2422" w:rsidRDefault="003B3AD7">
      <w:pPr>
        <w:pStyle w:val="14"/>
        <w:numPr>
          <w:ilvl w:val="0"/>
          <w:numId w:val="25"/>
        </w:numPr>
        <w:shd w:val="clear" w:color="auto" w:fill="auto"/>
        <w:spacing w:before="60" w:after="60" w:line="360" w:lineRule="auto"/>
        <w:ind w:left="740" w:right="20" w:hanging="340"/>
        <w:rPr>
          <w:rFonts w:asciiTheme="minorHAnsi" w:hAnsiTheme="minorHAnsi" w:cstheme="minorHAnsi"/>
          <w:sz w:val="24"/>
          <w:szCs w:val="24"/>
        </w:rPr>
      </w:pPr>
      <w:r>
        <w:rPr>
          <w:rFonts w:asciiTheme="minorHAnsi" w:hAnsiTheme="minorHAnsi" w:cstheme="minorHAnsi"/>
          <w:sz w:val="24"/>
          <w:szCs w:val="24"/>
        </w:rPr>
        <w:t xml:space="preserve"> Τον αριθμό του προσωπικού/στελεχών και την κατανομή του στις εμπλεκόμενες υπηρεσίες (διευθύνσεις/τμήματα/υπηρεσιακές -οργανωτικές μονάδες).</w:t>
      </w:r>
    </w:p>
    <w:p w14:paraId="2D938B84" w14:textId="77777777" w:rsidR="002A2422" w:rsidRDefault="003B3AD7">
      <w:pPr>
        <w:pStyle w:val="14"/>
        <w:numPr>
          <w:ilvl w:val="0"/>
          <w:numId w:val="25"/>
        </w:numPr>
        <w:shd w:val="clear" w:color="auto" w:fill="auto"/>
        <w:spacing w:before="60" w:after="60" w:line="360" w:lineRule="auto"/>
        <w:ind w:left="740" w:hanging="340"/>
        <w:rPr>
          <w:rFonts w:asciiTheme="minorHAnsi" w:hAnsiTheme="minorHAnsi" w:cstheme="minorHAnsi"/>
          <w:sz w:val="24"/>
          <w:szCs w:val="24"/>
        </w:rPr>
      </w:pPr>
      <w:r>
        <w:rPr>
          <w:rFonts w:asciiTheme="minorHAnsi" w:hAnsiTheme="minorHAnsi" w:cstheme="minorHAnsi"/>
          <w:sz w:val="24"/>
          <w:szCs w:val="24"/>
        </w:rPr>
        <w:t xml:space="preserve"> Τα προσόντα και την εμπειρία του προσωπικού.</w:t>
      </w:r>
    </w:p>
    <w:p w14:paraId="105C0D77" w14:textId="77777777" w:rsidR="002A2422" w:rsidRDefault="003B3AD7">
      <w:pPr>
        <w:pStyle w:val="14"/>
        <w:numPr>
          <w:ilvl w:val="0"/>
          <w:numId w:val="25"/>
        </w:numPr>
        <w:shd w:val="clear" w:color="auto" w:fill="auto"/>
        <w:spacing w:before="60" w:after="60" w:line="360" w:lineRule="auto"/>
        <w:ind w:left="740" w:hanging="340"/>
        <w:rPr>
          <w:rFonts w:asciiTheme="minorHAnsi" w:hAnsiTheme="minorHAnsi" w:cstheme="minorHAnsi"/>
          <w:sz w:val="24"/>
          <w:szCs w:val="24"/>
        </w:rPr>
      </w:pPr>
      <w:r>
        <w:rPr>
          <w:rFonts w:asciiTheme="minorHAnsi" w:hAnsiTheme="minorHAnsi" w:cstheme="minorHAnsi"/>
          <w:sz w:val="24"/>
          <w:szCs w:val="24"/>
        </w:rPr>
        <w:lastRenderedPageBreak/>
        <w:t xml:space="preserve"> Το θεσμικό πλαίσιο που το διέπει.</w:t>
      </w:r>
    </w:p>
    <w:p w14:paraId="367D3EC9" w14:textId="77777777" w:rsidR="002A2422" w:rsidRDefault="003B3AD7">
      <w:pPr>
        <w:pStyle w:val="14"/>
        <w:numPr>
          <w:ilvl w:val="0"/>
          <w:numId w:val="25"/>
        </w:numPr>
        <w:shd w:val="clear" w:color="auto" w:fill="auto"/>
        <w:spacing w:before="60" w:after="60" w:line="360" w:lineRule="auto"/>
        <w:ind w:left="740" w:right="20" w:hanging="340"/>
        <w:rPr>
          <w:rFonts w:asciiTheme="minorHAnsi" w:hAnsiTheme="minorHAnsi" w:cstheme="minorHAnsi"/>
          <w:sz w:val="24"/>
          <w:szCs w:val="24"/>
        </w:rPr>
      </w:pPr>
      <w:r>
        <w:rPr>
          <w:rFonts w:asciiTheme="minorHAnsi" w:hAnsiTheme="minorHAnsi" w:cstheme="minorHAnsi"/>
          <w:sz w:val="24"/>
          <w:szCs w:val="24"/>
        </w:rPr>
        <w:t xml:space="preserve"> Την κατανομή των αρμοδιοτήτων στο εσωτερικό της προτεινόμενης ΥΔ, με την οποία διασφαλίζεται η τήρηση της αρχής του διαχωρισμού των καθηκόντων, ιδιαίτερα αυτών που αφορούν στην αξιολόγηση και επιλογή των έργων, με αυτούς που αφορούν στις επαληθεύσεις και τις επιτόπιες επιθεωρήσεις/ελέγχους.</w:t>
      </w:r>
    </w:p>
    <w:p w14:paraId="7DDE7377" w14:textId="77777777" w:rsidR="002A2422" w:rsidRDefault="003B3AD7">
      <w:pPr>
        <w:pStyle w:val="14"/>
        <w:numPr>
          <w:ilvl w:val="0"/>
          <w:numId w:val="25"/>
        </w:numPr>
        <w:shd w:val="clear" w:color="auto" w:fill="auto"/>
        <w:spacing w:before="60" w:after="60" w:line="360" w:lineRule="auto"/>
        <w:ind w:left="740" w:right="20" w:hanging="340"/>
        <w:rPr>
          <w:rFonts w:asciiTheme="minorHAnsi" w:hAnsiTheme="minorHAnsi" w:cstheme="minorHAnsi"/>
          <w:sz w:val="24"/>
          <w:szCs w:val="24"/>
        </w:rPr>
      </w:pPr>
      <w:r>
        <w:rPr>
          <w:rFonts w:asciiTheme="minorHAnsi" w:hAnsiTheme="minorHAnsi" w:cstheme="minorHAnsi"/>
          <w:sz w:val="24"/>
          <w:szCs w:val="24"/>
        </w:rPr>
        <w:t xml:space="preserve"> Την ύπαρξη οδηγιών για τη διασφάλιση της αποφυγής σύγκρουσης συμφερόντων μέσω κατάλληλης πολιτικής διαχωρισμού καθηκόντων.</w:t>
      </w:r>
    </w:p>
    <w:p w14:paraId="5A00A340" w14:textId="77777777" w:rsidR="002A2422" w:rsidRDefault="003B3AD7">
      <w:pPr>
        <w:pStyle w:val="14"/>
        <w:numPr>
          <w:ilvl w:val="0"/>
          <w:numId w:val="25"/>
        </w:numPr>
        <w:shd w:val="clear" w:color="auto" w:fill="auto"/>
        <w:spacing w:before="60" w:after="60" w:line="360" w:lineRule="auto"/>
        <w:ind w:left="740" w:right="20" w:hanging="340"/>
        <w:rPr>
          <w:rFonts w:asciiTheme="minorHAnsi" w:hAnsiTheme="minorHAnsi" w:cstheme="minorHAnsi"/>
          <w:sz w:val="24"/>
          <w:szCs w:val="24"/>
        </w:rPr>
      </w:pPr>
      <w:r>
        <w:rPr>
          <w:rFonts w:asciiTheme="minorHAnsi" w:hAnsiTheme="minorHAnsi" w:cstheme="minorHAnsi"/>
          <w:sz w:val="24"/>
          <w:szCs w:val="24"/>
        </w:rPr>
        <w:t xml:space="preserve"> Την εξασφάλιση της απαραίτητης υλικοτεχνικής υποδομής και της επιμόρφωσης των στελεχών στην άσκηση του συγκεκριμένου καθήκοντος.</w:t>
      </w:r>
    </w:p>
    <w:p w14:paraId="6583B460" w14:textId="77777777" w:rsidR="002A2422" w:rsidRDefault="003B3AD7">
      <w:pPr>
        <w:pStyle w:val="14"/>
        <w:numPr>
          <w:ilvl w:val="0"/>
          <w:numId w:val="25"/>
        </w:numPr>
        <w:shd w:val="clear" w:color="auto" w:fill="auto"/>
        <w:spacing w:before="60" w:after="60" w:line="360" w:lineRule="auto"/>
        <w:ind w:left="740" w:hanging="340"/>
        <w:rPr>
          <w:rFonts w:asciiTheme="minorHAnsi" w:hAnsiTheme="minorHAnsi" w:cstheme="minorHAnsi"/>
          <w:sz w:val="24"/>
          <w:szCs w:val="24"/>
        </w:rPr>
      </w:pPr>
      <w:r>
        <w:rPr>
          <w:rFonts w:asciiTheme="minorHAnsi" w:hAnsiTheme="minorHAnsi" w:cstheme="minorHAnsi"/>
          <w:sz w:val="24"/>
          <w:szCs w:val="24"/>
        </w:rPr>
        <w:t xml:space="preserve"> Την αντίστοιχη εμπειρία στη διαχείριση άλλων προγραμμάτων και παρεμφερών έργων ή δράσεων.</w:t>
      </w:r>
    </w:p>
    <w:p w14:paraId="08ABB6D2"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 xml:space="preserve">Η κάλυψη του κριτηρίου της διοικητικής ικανότητας δύναται επίσης να τεκμηριώνεται και με την διαρκή πιστοποίηση με βάση εγκεκριμένα πρότυπα, όπως </w:t>
      </w:r>
      <w:r>
        <w:rPr>
          <w:rFonts w:asciiTheme="minorHAnsi" w:hAnsiTheme="minorHAnsi" w:cstheme="minorHAnsi"/>
          <w:sz w:val="24"/>
          <w:szCs w:val="24"/>
          <w:lang w:val="en-US" w:eastAsia="en-US" w:bidi="en-US"/>
        </w:rPr>
        <w:t>ISO</w:t>
      </w:r>
      <w:r>
        <w:rPr>
          <w:rFonts w:asciiTheme="minorHAnsi" w:hAnsiTheme="minorHAnsi" w:cstheme="minorHAnsi"/>
          <w:sz w:val="24"/>
          <w:szCs w:val="24"/>
          <w:lang w:eastAsia="en-US" w:bidi="en-US"/>
        </w:rPr>
        <w:t>.</w:t>
      </w:r>
    </w:p>
    <w:p w14:paraId="3E915800"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Στην περίπτωση που οι αρχές που ασκούν καθήκοντα διαχείρισης ενεργούν ως δικαιούχοι για ορισμένες πράξεις, όπως στην τεχνική βοήθεια, θα πρέπει να διασφαλίζεται η σαφής διάκριση καθηκόντων μεταξύ των στελεχών που εμπλέκονται με την προκήρυξη έργων και την ανάθεση συμβάσεων και εκείνων που διενεργούν τις διαχειριστικές επαληθεύσεις/επιθεωρήσεις των έργων αυτών.</w:t>
      </w:r>
    </w:p>
    <w:p w14:paraId="68E9DD4D"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Στις υφιστάμενες υπηρεσίες πρέπει να υπάρχει σαφής καθορισμός των κύριων αρμοδιοτήτων των μονάδων, όπως και των λοιπών εσωτερικών και εξωτερικών υπηρεσιών και τμημάτων που εμπλέκονται στην υλοποίηση του προγράμματος, ενώ είναι καθορισμένος ο ρόλος τους, καθώς και ο τρόπος συντονισμού τους.</w:t>
      </w:r>
    </w:p>
    <w:p w14:paraId="6EDBC2FD" w14:textId="77777777" w:rsidR="002A2422" w:rsidRDefault="002A2422">
      <w:pPr>
        <w:pStyle w:val="14"/>
        <w:shd w:val="clear" w:color="auto" w:fill="auto"/>
        <w:spacing w:before="60" w:after="60" w:line="360" w:lineRule="auto"/>
        <w:ind w:left="20" w:right="20" w:firstLine="0"/>
        <w:rPr>
          <w:rFonts w:asciiTheme="minorHAnsi" w:hAnsiTheme="minorHAnsi" w:cstheme="minorHAnsi"/>
          <w:sz w:val="24"/>
          <w:szCs w:val="24"/>
        </w:rPr>
      </w:pPr>
    </w:p>
    <w:p w14:paraId="7FD452F3" w14:textId="77777777" w:rsidR="002A2422" w:rsidRDefault="003B3AD7">
      <w:pPr>
        <w:pStyle w:val="2"/>
        <w:ind w:left="1134" w:hanging="1134"/>
      </w:pPr>
      <w:bookmarkStart w:id="79" w:name="bookmark13"/>
      <w:bookmarkStart w:id="80" w:name="bookmark12"/>
      <w:bookmarkStart w:id="81" w:name="_Toc68011216"/>
      <w:bookmarkStart w:id="82" w:name="_Toc73665495"/>
      <w:r>
        <w:t>Υφιστάμενη κατάσταση στο ΥΠ</w:t>
      </w:r>
      <w:bookmarkEnd w:id="79"/>
      <w:bookmarkEnd w:id="80"/>
      <w:r>
        <w:t>ΠΟΑ</w:t>
      </w:r>
      <w:bookmarkEnd w:id="81"/>
      <w:bookmarkEnd w:id="82"/>
    </w:p>
    <w:p w14:paraId="0F7F3BFA"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Το ΥΠΠΟΑ, λόγω του μεγάλου αριθμού έργων κυρίως  στο συγχρηματοδοτούμενο σκέλος του ΠΔΕ αλλά κυρίως λόγω του μεγάλου αριθμού φορέων υλοποίησης έργων και των ιδιαιτεροτήτων αυτών, έχει συστήσει διακριτή υπηρεσία για το ΠΔΕ υπό την Γενική Διεύθυνση Οικονομικών Υπηρεσιών.</w:t>
      </w:r>
    </w:p>
    <w:p w14:paraId="1F2C9780" w14:textId="77777777" w:rsidR="002A2422" w:rsidRDefault="002A2422">
      <w:pPr>
        <w:pStyle w:val="14"/>
        <w:shd w:val="clear" w:color="auto" w:fill="auto"/>
        <w:spacing w:before="60" w:after="60" w:line="360" w:lineRule="auto"/>
        <w:ind w:left="20" w:right="20" w:firstLine="0"/>
        <w:rPr>
          <w:rFonts w:asciiTheme="minorHAnsi" w:hAnsiTheme="minorHAnsi" w:cstheme="minorHAnsi"/>
          <w:sz w:val="24"/>
          <w:szCs w:val="24"/>
        </w:rPr>
      </w:pPr>
    </w:p>
    <w:p w14:paraId="0CBCCD63" w14:textId="77777777" w:rsidR="002A2422" w:rsidRDefault="003B3AD7">
      <w:pPr>
        <w:pStyle w:val="2"/>
        <w:ind w:left="1134" w:hanging="1134"/>
      </w:pPr>
      <w:bookmarkStart w:id="83" w:name="bookmark18"/>
      <w:bookmarkStart w:id="84" w:name="bookmark17"/>
      <w:bookmarkStart w:id="85" w:name="_Toc68011217"/>
      <w:bookmarkStart w:id="86" w:name="_Toc73665496"/>
      <w:r>
        <w:lastRenderedPageBreak/>
        <w:t>Δομή υπηρεσιακής διαχείρισης για το ΤΠΑ βάσει του ν. 4635/2019 και των οδηγιών του ΥΠ</w:t>
      </w:r>
      <w:bookmarkEnd w:id="83"/>
      <w:bookmarkEnd w:id="84"/>
      <w:r>
        <w:t>ΠΟΑ</w:t>
      </w:r>
      <w:bookmarkEnd w:id="85"/>
      <w:bookmarkEnd w:id="86"/>
    </w:p>
    <w:p w14:paraId="4220182C"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Στη συνέχεια παρουσιάζεται, με βάση τις αρμοδιότητες που προβλέπονται στον ν. 4635/2019, υπόδειγμα δομής μιας Υπηρεσίας Διαχείρισης των ΤΠΑ, που θεωρητικά διαθέτει την απαραίτητη διοικητική ικανότητα.</w:t>
      </w:r>
    </w:p>
    <w:p w14:paraId="644C1537" w14:textId="77777777" w:rsidR="002A2422" w:rsidRDefault="003B3AD7">
      <w:pPr>
        <w:pStyle w:val="14"/>
        <w:shd w:val="clear" w:color="auto" w:fill="auto"/>
        <w:spacing w:before="60" w:after="60" w:line="360" w:lineRule="auto"/>
        <w:ind w:left="20" w:firstLine="0"/>
        <w:jc w:val="left"/>
        <w:rPr>
          <w:rFonts w:asciiTheme="minorHAnsi" w:hAnsiTheme="minorHAnsi" w:cstheme="minorHAnsi"/>
          <w:sz w:val="24"/>
          <w:szCs w:val="24"/>
        </w:rPr>
      </w:pPr>
      <w:r>
        <w:rPr>
          <w:rFonts w:asciiTheme="minorHAnsi" w:hAnsiTheme="minorHAnsi" w:cstheme="minorHAnsi"/>
          <w:sz w:val="24"/>
          <w:szCs w:val="24"/>
        </w:rPr>
        <w:t>Ειδικότερα, οι αρμοδιότητες κατανέμονται σε μονάδες /τμήματα/ στελέχη ως εξής:</w:t>
      </w:r>
    </w:p>
    <w:p w14:paraId="55D6D8E3" w14:textId="77777777" w:rsidR="002A2422" w:rsidRDefault="003B3AD7">
      <w:pPr>
        <w:pStyle w:val="14"/>
        <w:shd w:val="clear" w:color="auto" w:fill="auto"/>
        <w:spacing w:before="60" w:after="60" w:line="360" w:lineRule="auto"/>
        <w:ind w:left="20" w:firstLine="0"/>
        <w:jc w:val="left"/>
        <w:rPr>
          <w:rFonts w:asciiTheme="minorHAnsi" w:hAnsiTheme="minorHAnsi" w:cstheme="minorHAnsi"/>
          <w:sz w:val="24"/>
          <w:szCs w:val="24"/>
        </w:rPr>
      </w:pPr>
      <w:r>
        <w:rPr>
          <w:rFonts w:asciiTheme="minorHAnsi" w:hAnsiTheme="minorHAnsi" w:cstheme="minorHAnsi"/>
          <w:sz w:val="24"/>
          <w:szCs w:val="24"/>
        </w:rPr>
        <w:t>Α) Αρμοδιότητες που έχουν σχέση με την ενεργοποίηση του Προγράμματος και την ένταξη έργων:</w:t>
      </w:r>
    </w:p>
    <w:p w14:paraId="2E4B6A9C" w14:textId="77777777" w:rsidR="002A2422" w:rsidRDefault="003B3AD7">
      <w:pPr>
        <w:pStyle w:val="14"/>
        <w:numPr>
          <w:ilvl w:val="0"/>
          <w:numId w:val="26"/>
        </w:numPr>
        <w:shd w:val="clear" w:color="auto" w:fill="auto"/>
        <w:spacing w:before="60" w:after="60" w:line="360" w:lineRule="auto"/>
        <w:ind w:left="644" w:right="20" w:hanging="360"/>
        <w:rPr>
          <w:rFonts w:asciiTheme="minorHAnsi" w:hAnsiTheme="minorHAnsi" w:cstheme="minorHAnsi"/>
          <w:sz w:val="24"/>
          <w:szCs w:val="24"/>
        </w:rPr>
      </w:pPr>
      <w:r>
        <w:rPr>
          <w:rFonts w:asciiTheme="minorHAnsi" w:hAnsiTheme="minorHAnsi" w:cstheme="minorHAnsi"/>
          <w:sz w:val="24"/>
          <w:szCs w:val="24"/>
        </w:rPr>
        <w:t xml:space="preserve"> Σύνταξη, έκδοση, δημοσιοποίηση πρόσκλησης δράσης (όπου είναι απαραίτητο), καθορισμός κριτηρίων επιλογής των προς ένταξη έργων.</w:t>
      </w:r>
    </w:p>
    <w:p w14:paraId="1E45BCF6" w14:textId="77777777" w:rsidR="002A2422" w:rsidRDefault="003B3AD7">
      <w:pPr>
        <w:pStyle w:val="14"/>
        <w:numPr>
          <w:ilvl w:val="0"/>
          <w:numId w:val="26"/>
        </w:numPr>
        <w:shd w:val="clear" w:color="auto" w:fill="auto"/>
        <w:spacing w:before="60" w:after="60" w:line="360" w:lineRule="auto"/>
        <w:ind w:left="644" w:right="20" w:hanging="360"/>
        <w:rPr>
          <w:rFonts w:asciiTheme="minorHAnsi" w:hAnsiTheme="minorHAnsi" w:cstheme="minorHAnsi"/>
          <w:sz w:val="24"/>
          <w:szCs w:val="24"/>
        </w:rPr>
      </w:pPr>
      <w:r>
        <w:rPr>
          <w:rFonts w:asciiTheme="minorHAnsi" w:hAnsiTheme="minorHAnsi" w:cstheme="minorHAnsi"/>
          <w:sz w:val="24"/>
          <w:szCs w:val="24"/>
        </w:rPr>
        <w:t xml:space="preserve"> Συγκέντρωση προτάσεων δικαιούχων, έλεγχος πληρότητας και αρτιότητας των προτάσεων για την ένταξη έργων στο Πρόγραμμα, αξιολόγηση των προτάσεων, έκδοση απόφασης ένταξης (εισήγηση για υπογραφή από αρμόδιο Υπουργό).</w:t>
      </w:r>
    </w:p>
    <w:p w14:paraId="746EFE7C" w14:textId="77777777" w:rsidR="002A2422" w:rsidRDefault="003B3AD7">
      <w:pPr>
        <w:pStyle w:val="14"/>
        <w:numPr>
          <w:ilvl w:val="0"/>
          <w:numId w:val="26"/>
        </w:numPr>
        <w:shd w:val="clear" w:color="auto" w:fill="auto"/>
        <w:spacing w:before="60" w:after="60" w:line="360" w:lineRule="auto"/>
        <w:ind w:left="720" w:right="20" w:hanging="360"/>
        <w:rPr>
          <w:rFonts w:asciiTheme="minorHAnsi" w:hAnsiTheme="minorHAnsi" w:cstheme="minorHAnsi"/>
          <w:sz w:val="24"/>
          <w:szCs w:val="24"/>
        </w:rPr>
      </w:pPr>
      <w:r>
        <w:rPr>
          <w:rFonts w:asciiTheme="minorHAnsi" w:hAnsiTheme="minorHAnsi" w:cstheme="minorHAnsi"/>
          <w:sz w:val="24"/>
          <w:szCs w:val="24"/>
        </w:rPr>
        <w:t xml:space="preserve"> Προετοιμασία και υποβολή προτάσεων για εγγραφή των έργων στο ΠΔΕ, σύμφωνα με την εγκύκλιο κατάρτισης ΠΔΕ.</w:t>
      </w:r>
    </w:p>
    <w:p w14:paraId="6125C212" w14:textId="77777777" w:rsidR="002A2422" w:rsidRDefault="003B3AD7">
      <w:pPr>
        <w:pStyle w:val="14"/>
        <w:numPr>
          <w:ilvl w:val="0"/>
          <w:numId w:val="26"/>
        </w:numPr>
        <w:shd w:val="clear" w:color="auto" w:fill="auto"/>
        <w:spacing w:before="60" w:after="60" w:line="360" w:lineRule="auto"/>
        <w:ind w:left="720" w:right="20" w:hanging="360"/>
        <w:rPr>
          <w:rFonts w:asciiTheme="minorHAnsi" w:hAnsiTheme="minorHAnsi" w:cstheme="minorHAnsi"/>
          <w:sz w:val="24"/>
          <w:szCs w:val="24"/>
        </w:rPr>
      </w:pPr>
      <w:r>
        <w:rPr>
          <w:rFonts w:asciiTheme="minorHAnsi" w:hAnsiTheme="minorHAnsi" w:cstheme="minorHAnsi"/>
          <w:sz w:val="24"/>
          <w:szCs w:val="24"/>
        </w:rPr>
        <w:t xml:space="preserve"> Εφαρμογή ενεργειών για την όσο το δυνατόν ευρύτερη πληροφόρηση των δυνητικών δικαιούχων σε σχέση με τις ευκαιρίες χρηματοδότησης, τους κανόνες επιλεξιμότητας, τα δικαιώματα, τις υποχρεώσεις τους και το σύστημα διαχείρισης και ελέγχου.</w:t>
      </w:r>
    </w:p>
    <w:p w14:paraId="00932374" w14:textId="77777777" w:rsidR="002A2422" w:rsidRDefault="003B3AD7">
      <w:pPr>
        <w:pStyle w:val="14"/>
        <w:numPr>
          <w:ilvl w:val="0"/>
          <w:numId w:val="26"/>
        </w:numPr>
        <w:shd w:val="clear" w:color="auto" w:fill="auto"/>
        <w:spacing w:before="60" w:after="60" w:line="360" w:lineRule="auto"/>
        <w:ind w:left="720" w:right="20" w:hanging="360"/>
        <w:rPr>
          <w:rFonts w:asciiTheme="minorHAnsi" w:hAnsiTheme="minorHAnsi" w:cstheme="minorHAnsi"/>
          <w:sz w:val="24"/>
          <w:szCs w:val="24"/>
        </w:rPr>
      </w:pPr>
      <w:r>
        <w:rPr>
          <w:rFonts w:asciiTheme="minorHAnsi" w:hAnsiTheme="minorHAnsi" w:cstheme="minorHAnsi"/>
          <w:sz w:val="24"/>
          <w:szCs w:val="24"/>
        </w:rPr>
        <w:t xml:space="preserve"> Μέριμνα για την αξιοποίηση όλων των διαθέσιμων εργαλείων, όπως </w:t>
      </w:r>
      <w:r>
        <w:rPr>
          <w:rFonts w:asciiTheme="minorHAnsi" w:hAnsiTheme="minorHAnsi" w:cstheme="minorHAnsi"/>
          <w:sz w:val="24"/>
          <w:szCs w:val="24"/>
          <w:lang w:val="en-US" w:eastAsia="en-US" w:bidi="en-US"/>
        </w:rPr>
        <w:t>epde</w:t>
      </w:r>
      <w:r>
        <w:rPr>
          <w:rFonts w:asciiTheme="minorHAnsi" w:hAnsiTheme="minorHAnsi" w:cstheme="minorHAnsi"/>
          <w:sz w:val="24"/>
          <w:szCs w:val="24"/>
          <w:lang w:eastAsia="en-US" w:bidi="en-US"/>
        </w:rPr>
        <w:t xml:space="preserve"> </w:t>
      </w:r>
      <w:r>
        <w:rPr>
          <w:rFonts w:asciiTheme="minorHAnsi" w:hAnsiTheme="minorHAnsi" w:cstheme="minorHAnsi"/>
          <w:sz w:val="24"/>
          <w:szCs w:val="24"/>
        </w:rPr>
        <w:t>και ΠΣ-EΠA, προκειμένου να παρακολουθείται η εξέλιξη του προγράμματος και κυρίως οι χρηματορροές του, συγκέντρωση των απαραίτητων δεδομένων για την αξιολόγηση του ΤΠΑ, όπου κρίνεται αναγκαία, καθώς και σύνταξη της πρότασης αναθεώρησής τους, όταν διαπιστώνεται σχετική ανάγκη.</w:t>
      </w:r>
    </w:p>
    <w:p w14:paraId="27C3D6BC" w14:textId="77777777" w:rsidR="002A2422" w:rsidRDefault="003B3AD7">
      <w:pPr>
        <w:pStyle w:val="14"/>
        <w:numPr>
          <w:ilvl w:val="0"/>
          <w:numId w:val="26"/>
        </w:numPr>
        <w:shd w:val="clear" w:color="auto" w:fill="auto"/>
        <w:spacing w:before="60" w:after="60" w:line="360" w:lineRule="auto"/>
        <w:ind w:left="720" w:right="20" w:hanging="360"/>
        <w:rPr>
          <w:rFonts w:asciiTheme="minorHAnsi" w:hAnsiTheme="minorHAnsi" w:cstheme="minorHAnsi"/>
          <w:sz w:val="24"/>
          <w:szCs w:val="24"/>
        </w:rPr>
      </w:pPr>
      <w:r>
        <w:rPr>
          <w:rFonts w:asciiTheme="minorHAnsi" w:hAnsiTheme="minorHAnsi" w:cstheme="minorHAnsi"/>
          <w:sz w:val="24"/>
          <w:szCs w:val="24"/>
        </w:rPr>
        <w:t xml:space="preserve"> Σύνταξη ενδιάμεσης έκθεσης προόδου και έκθεσης ολοκλήρωσης του ΤΠΑ καθώς επίσης και των εκθέσεων που τυχόν θα ζητηθούν από την Δι.Δι.Ε.Π.</w:t>
      </w:r>
    </w:p>
    <w:p w14:paraId="1F11A99D" w14:textId="77777777" w:rsidR="002A2422" w:rsidRDefault="003B3AD7">
      <w:pPr>
        <w:pStyle w:val="14"/>
        <w:numPr>
          <w:ilvl w:val="0"/>
          <w:numId w:val="26"/>
        </w:numPr>
        <w:shd w:val="clear" w:color="auto" w:fill="auto"/>
        <w:spacing w:before="60" w:after="60" w:line="360" w:lineRule="auto"/>
        <w:ind w:left="720" w:hanging="360"/>
        <w:rPr>
          <w:rFonts w:asciiTheme="minorHAnsi" w:hAnsiTheme="minorHAnsi" w:cstheme="minorHAnsi"/>
          <w:sz w:val="24"/>
          <w:szCs w:val="24"/>
        </w:rPr>
      </w:pPr>
      <w:r>
        <w:rPr>
          <w:rFonts w:asciiTheme="minorHAnsi" w:hAnsiTheme="minorHAnsi" w:cstheme="minorHAnsi"/>
          <w:sz w:val="24"/>
          <w:szCs w:val="24"/>
        </w:rPr>
        <w:t xml:space="preserve"> Μέριμνα για τη δημοσιοποίηση και προβολή δράσεων και στόχων προγράμματος.</w:t>
      </w:r>
    </w:p>
    <w:p w14:paraId="03A4BDAC"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Β) Αρμοδιότητες που έχουν σχέση με την παρακολούθηση έργων των ΤΠΑ (φυσικό &amp; οικονομικό αντικείμενο)</w:t>
      </w:r>
    </w:p>
    <w:p w14:paraId="620D3235" w14:textId="77777777" w:rsidR="002A2422" w:rsidRDefault="003B3AD7">
      <w:pPr>
        <w:pStyle w:val="14"/>
        <w:numPr>
          <w:ilvl w:val="0"/>
          <w:numId w:val="26"/>
        </w:numPr>
        <w:shd w:val="clear" w:color="auto" w:fill="auto"/>
        <w:spacing w:before="60" w:after="60" w:line="360" w:lineRule="auto"/>
        <w:ind w:left="720" w:right="20" w:hanging="360"/>
        <w:rPr>
          <w:rFonts w:asciiTheme="minorHAnsi" w:hAnsiTheme="minorHAnsi" w:cstheme="minorHAnsi"/>
          <w:sz w:val="24"/>
          <w:szCs w:val="24"/>
        </w:rPr>
      </w:pPr>
      <w:r>
        <w:rPr>
          <w:rFonts w:asciiTheme="minorHAnsi" w:hAnsiTheme="minorHAnsi" w:cstheme="minorHAnsi"/>
          <w:sz w:val="24"/>
          <w:szCs w:val="24"/>
        </w:rPr>
        <w:t xml:space="preserve"> Διενεργεί διοικητικές επαληθεύσεις και επιτόπιες επιθεωρήσεις, σύμφωνα με τις προβλεπόμενες στο ΣΔΕ διαδικασίες.</w:t>
      </w:r>
    </w:p>
    <w:p w14:paraId="2F4BFEB9" w14:textId="77777777" w:rsidR="002A2422" w:rsidRDefault="003B3AD7">
      <w:pPr>
        <w:pStyle w:val="14"/>
        <w:shd w:val="clear" w:color="auto" w:fill="auto"/>
        <w:spacing w:before="60" w:after="60" w:line="360" w:lineRule="auto"/>
        <w:ind w:left="720" w:right="20" w:firstLine="0"/>
        <w:rPr>
          <w:rFonts w:asciiTheme="minorHAnsi" w:hAnsiTheme="minorHAnsi" w:cstheme="minorHAnsi"/>
          <w:sz w:val="24"/>
          <w:szCs w:val="24"/>
        </w:rPr>
      </w:pPr>
      <w:r>
        <w:rPr>
          <w:rFonts w:asciiTheme="minorHAnsi" w:hAnsiTheme="minorHAnsi" w:cstheme="minorHAnsi"/>
          <w:sz w:val="24"/>
          <w:szCs w:val="24"/>
        </w:rPr>
        <w:t xml:space="preserve">Η παρακολούθηση του έργου αφορά τόσο στην παρακολούθηση της υλοποίησης του </w:t>
      </w:r>
      <w:r>
        <w:rPr>
          <w:rFonts w:asciiTheme="minorHAnsi" w:hAnsiTheme="minorHAnsi" w:cstheme="minorHAnsi"/>
          <w:sz w:val="24"/>
          <w:szCs w:val="24"/>
        </w:rPr>
        <w:lastRenderedPageBreak/>
        <w:t>φυσικού αντικειμένου, όπως με επιτόπιες επιθεωρήσεις που προγραμματίζονται σε συγκεκριμένα χρονικά διαστήματα, όσο και του οικονομικού αντικειμένου, με διοικητική επαλήθευση των οικονομικών στοιχείων που υποβάλλονται από τον δικαιούχο. Ιδιαίτερη προσοχή δίνεται για την τήρηση του όρου (18 μήνες) ανάληψης της νομικής δέσμευσης από την ένταξη του έργου. Η διοικητική επαλήθευση μπορεί να είναι δειγματοληπτική (για ορισμένες πληρωμές) ή πλήρης για όλες τις πληρωμές. Στην πρώτη πληρωμή προτείνεται να γίνεται διοικητικός έλεγχος σε όλα τα έργα, ενώ στη συνέχεια αναλόγως της προόδου της δήλωσης των δαπανών, οι έλεγχοι μπορεί να είναι δειγματοληπτικοί. Η διενέργεια επιτόπιων επιθεωρήσεων θα γίνεται με την εφαρμογή συγκεκριμένης μεθόδου δειγματοληψίας και στόχος είναι να πραγματοποιηθεί τουλάχιστον μία σε κάθε έργο κατά την υλοποίηση. Κατά την ολοκλήρωση των έργων δύναται η ΥΔ να αποφασίσει για την αναγκαιότητα διενέργειας επιτόπιας επαλήθευσης.</w:t>
      </w:r>
    </w:p>
    <w:p w14:paraId="1177CABD" w14:textId="77777777" w:rsidR="002A2422" w:rsidRDefault="003B3AD7">
      <w:pPr>
        <w:pStyle w:val="14"/>
        <w:numPr>
          <w:ilvl w:val="0"/>
          <w:numId w:val="26"/>
        </w:numPr>
        <w:shd w:val="clear" w:color="auto" w:fill="auto"/>
        <w:spacing w:before="60" w:after="60" w:line="360" w:lineRule="auto"/>
        <w:ind w:left="720" w:right="20" w:hanging="360"/>
        <w:rPr>
          <w:rFonts w:asciiTheme="minorHAnsi" w:hAnsiTheme="minorHAnsi" w:cstheme="minorHAnsi"/>
          <w:sz w:val="24"/>
          <w:szCs w:val="24"/>
        </w:rPr>
      </w:pPr>
      <w:r>
        <w:rPr>
          <w:rFonts w:asciiTheme="minorHAnsi" w:hAnsiTheme="minorHAnsi" w:cstheme="minorHAnsi"/>
          <w:sz w:val="24"/>
          <w:szCs w:val="24"/>
        </w:rPr>
        <w:t xml:space="preserve"> Αξιοποίηση όλων των διαθέσιμων εργαλείων, προκειμένου να παρακολουθείται το φυσικό/οικονομικό αντικείμενο των έργων.</w:t>
      </w:r>
    </w:p>
    <w:p w14:paraId="3BA96BBC" w14:textId="77777777" w:rsidR="002A2422" w:rsidRDefault="003B3AD7">
      <w:pPr>
        <w:pStyle w:val="14"/>
        <w:numPr>
          <w:ilvl w:val="0"/>
          <w:numId w:val="26"/>
        </w:numPr>
        <w:shd w:val="clear" w:color="auto" w:fill="auto"/>
        <w:spacing w:before="60" w:after="60" w:line="360" w:lineRule="auto"/>
        <w:ind w:left="720" w:right="20" w:hanging="360"/>
        <w:rPr>
          <w:rFonts w:asciiTheme="minorHAnsi" w:hAnsiTheme="minorHAnsi" w:cstheme="minorHAnsi"/>
          <w:sz w:val="24"/>
          <w:szCs w:val="24"/>
        </w:rPr>
      </w:pPr>
      <w:r>
        <w:rPr>
          <w:rFonts w:asciiTheme="minorHAnsi" w:hAnsiTheme="minorHAnsi" w:cstheme="minorHAnsi"/>
          <w:sz w:val="24"/>
          <w:szCs w:val="24"/>
        </w:rPr>
        <w:t xml:space="preserve"> Παρακολούθηση των ευρημάτων που έχουν εντοπιστεί σε επιτόπιες επιθεωρήσεις/ελέγχους που πραγματοποιούνται σε έργα του ΤΠΑ είτε από την ΥΔ ή άλλους εθνικούς φορείς, όπως Δι.Δι.Ε.Π., </w:t>
      </w:r>
      <w:r>
        <w:rPr>
          <w:rFonts w:asciiTheme="minorHAnsi" w:hAnsiTheme="minorHAnsi" w:cstheme="minorHAnsi"/>
          <w:sz w:val="24"/>
          <w:szCs w:val="24"/>
          <w:lang w:val="en-US" w:eastAsia="en-US" w:bidi="en-US"/>
        </w:rPr>
        <w:t>ad</w:t>
      </w:r>
      <w:r>
        <w:rPr>
          <w:rFonts w:asciiTheme="minorHAnsi" w:hAnsiTheme="minorHAnsi" w:cstheme="minorHAnsi"/>
          <w:sz w:val="24"/>
          <w:szCs w:val="24"/>
          <w:lang w:eastAsia="en-US" w:bidi="en-US"/>
        </w:rPr>
        <w:t xml:space="preserve"> </w:t>
      </w:r>
      <w:r>
        <w:rPr>
          <w:rFonts w:asciiTheme="minorHAnsi" w:hAnsiTheme="minorHAnsi" w:cstheme="minorHAnsi"/>
          <w:sz w:val="24"/>
          <w:szCs w:val="24"/>
          <w:lang w:val="en-US" w:eastAsia="en-US" w:bidi="en-US"/>
        </w:rPr>
        <w:t>hoc</w:t>
      </w:r>
      <w:r>
        <w:rPr>
          <w:rFonts w:asciiTheme="minorHAnsi" w:hAnsiTheme="minorHAnsi" w:cstheme="minorHAnsi"/>
          <w:sz w:val="24"/>
          <w:szCs w:val="24"/>
          <w:lang w:eastAsia="en-US" w:bidi="en-US"/>
        </w:rPr>
        <w:t xml:space="preserve"> </w:t>
      </w:r>
      <w:r>
        <w:rPr>
          <w:rFonts w:asciiTheme="minorHAnsi" w:hAnsiTheme="minorHAnsi" w:cstheme="minorHAnsi"/>
          <w:sz w:val="24"/>
          <w:szCs w:val="24"/>
        </w:rPr>
        <w:t>ομάδες ελέγχου και ΣΔΟΕ.</w:t>
      </w:r>
    </w:p>
    <w:p w14:paraId="6D96D22D" w14:textId="77777777" w:rsidR="002A2422" w:rsidRDefault="003B3AD7">
      <w:pPr>
        <w:pStyle w:val="14"/>
        <w:numPr>
          <w:ilvl w:val="0"/>
          <w:numId w:val="26"/>
        </w:numPr>
        <w:shd w:val="clear" w:color="auto" w:fill="auto"/>
        <w:tabs>
          <w:tab w:val="left" w:pos="643"/>
        </w:tabs>
        <w:spacing w:before="60" w:after="60" w:line="360" w:lineRule="auto"/>
        <w:ind w:left="720" w:hanging="360"/>
        <w:rPr>
          <w:rFonts w:asciiTheme="minorHAnsi" w:hAnsiTheme="minorHAnsi" w:cstheme="minorHAnsi"/>
          <w:sz w:val="24"/>
          <w:szCs w:val="24"/>
        </w:rPr>
      </w:pPr>
      <w:r>
        <w:rPr>
          <w:rFonts w:asciiTheme="minorHAnsi" w:hAnsiTheme="minorHAnsi" w:cstheme="minorHAnsi"/>
          <w:sz w:val="24"/>
          <w:szCs w:val="24"/>
        </w:rPr>
        <w:t>Παρακολούθηση της τήρησης όλων των συστάσεων που έχουν γίνει στον δικαιούχο.</w:t>
      </w:r>
    </w:p>
    <w:p w14:paraId="4E0A021B" w14:textId="77777777" w:rsidR="002A2422" w:rsidRDefault="003B3AD7">
      <w:pPr>
        <w:pStyle w:val="14"/>
        <w:numPr>
          <w:ilvl w:val="0"/>
          <w:numId w:val="26"/>
        </w:numPr>
        <w:shd w:val="clear" w:color="auto" w:fill="auto"/>
        <w:spacing w:before="60" w:after="60" w:line="360" w:lineRule="auto"/>
        <w:ind w:left="720" w:right="20" w:hanging="360"/>
        <w:rPr>
          <w:rFonts w:asciiTheme="minorHAnsi" w:hAnsiTheme="minorHAnsi" w:cstheme="minorHAnsi"/>
          <w:sz w:val="24"/>
          <w:szCs w:val="24"/>
        </w:rPr>
      </w:pPr>
      <w:r>
        <w:rPr>
          <w:rFonts w:asciiTheme="minorHAnsi" w:hAnsiTheme="minorHAnsi" w:cstheme="minorHAnsi"/>
          <w:sz w:val="24"/>
          <w:szCs w:val="24"/>
        </w:rPr>
        <w:t xml:space="preserve"> Διαχείριση, των τυχόν παρατυπιών και υπονοιών απάτης, όπως για την ανάκτηση αχρεωστήτως ή παρανόμως καταβληθέντων ποσών (εισήγηση για την έκδοση σχετικών αποφάσεων δημοσιονομικών διορθώσεων).</w:t>
      </w:r>
    </w:p>
    <w:p w14:paraId="70FFA617" w14:textId="77777777" w:rsidR="002A2422" w:rsidRDefault="003B3AD7">
      <w:pPr>
        <w:pStyle w:val="14"/>
        <w:numPr>
          <w:ilvl w:val="0"/>
          <w:numId w:val="26"/>
        </w:numPr>
        <w:shd w:val="clear" w:color="auto" w:fill="auto"/>
        <w:spacing w:before="60" w:after="60" w:line="336" w:lineRule="auto"/>
        <w:ind w:left="720" w:right="20" w:hanging="360"/>
        <w:rPr>
          <w:rFonts w:asciiTheme="minorHAnsi" w:hAnsiTheme="minorHAnsi" w:cstheme="minorHAnsi"/>
          <w:sz w:val="24"/>
          <w:szCs w:val="24"/>
        </w:rPr>
      </w:pPr>
      <w:r>
        <w:rPr>
          <w:rFonts w:asciiTheme="minorHAnsi" w:hAnsiTheme="minorHAnsi" w:cstheme="minorHAnsi"/>
          <w:sz w:val="24"/>
          <w:szCs w:val="24"/>
        </w:rPr>
        <w:t xml:space="preserve"> Τήρηση αρχείων με τα αποδεικτικά στοιχεία των διοικητικών επαληθεύσεων και των επιτόπιων επιθεωρήσεων. Θα πρέπει να εξασφαλίζεται η δυνατότητα επαρκούς διαδρομής ελέγχου, και των δικαιολογητικών εγγράφων για την πρόοδο επίτευξης των στόχων του έργου και την ολοκλήρωση του, εφόσον αυτό κριθεί αναγκαίο.</w:t>
      </w:r>
    </w:p>
    <w:p w14:paraId="1A93A9DB" w14:textId="77777777" w:rsidR="002A2422" w:rsidRDefault="003B3AD7">
      <w:pPr>
        <w:pStyle w:val="14"/>
        <w:shd w:val="clear" w:color="auto" w:fill="auto"/>
        <w:spacing w:before="60" w:after="60" w:line="336" w:lineRule="auto"/>
        <w:ind w:left="20" w:right="20" w:firstLine="0"/>
        <w:rPr>
          <w:rFonts w:asciiTheme="minorHAnsi" w:hAnsiTheme="minorHAnsi" w:cstheme="minorHAnsi"/>
          <w:sz w:val="24"/>
          <w:szCs w:val="24"/>
        </w:rPr>
      </w:pPr>
      <w:r>
        <w:rPr>
          <w:rFonts w:asciiTheme="minorHAnsi" w:hAnsiTheme="minorHAnsi" w:cstheme="minorHAnsi"/>
          <w:sz w:val="24"/>
          <w:szCs w:val="24"/>
        </w:rPr>
        <w:t>Σε περίπτωση που προτείνεται ως Υπηρεσία Διαχείρισης (ΥΔ) του ΤΠΑ, υπηρεσία ενός Υπουργείου θα πρέπει:</w:t>
      </w:r>
    </w:p>
    <w:p w14:paraId="2DE806CF" w14:textId="77777777" w:rsidR="002A2422" w:rsidRDefault="003B3AD7">
      <w:pPr>
        <w:pStyle w:val="14"/>
        <w:numPr>
          <w:ilvl w:val="0"/>
          <w:numId w:val="25"/>
        </w:numPr>
        <w:shd w:val="clear" w:color="auto" w:fill="auto"/>
        <w:spacing w:before="60" w:after="60" w:line="336" w:lineRule="auto"/>
        <w:ind w:left="720" w:right="20" w:hanging="360"/>
        <w:rPr>
          <w:rFonts w:asciiTheme="minorHAnsi" w:hAnsiTheme="minorHAnsi" w:cstheme="minorHAnsi"/>
          <w:sz w:val="24"/>
          <w:szCs w:val="24"/>
        </w:rPr>
      </w:pPr>
      <w:r>
        <w:rPr>
          <w:rFonts w:asciiTheme="minorHAnsi" w:hAnsiTheme="minorHAnsi" w:cstheme="minorHAnsi"/>
          <w:sz w:val="24"/>
          <w:szCs w:val="24"/>
        </w:rPr>
        <w:t xml:space="preserve"> είτε η υφιστάμενη υπηρεσιακή δομή της υπηρεσίας να έχει προσαρμοστεί, προσθέτοντας νέα τμήματα/ μονάδες,</w:t>
      </w:r>
    </w:p>
    <w:p w14:paraId="3959FB48" w14:textId="77777777" w:rsidR="002A2422" w:rsidRDefault="003B3AD7">
      <w:pPr>
        <w:pStyle w:val="14"/>
        <w:numPr>
          <w:ilvl w:val="0"/>
          <w:numId w:val="25"/>
        </w:numPr>
        <w:shd w:val="clear" w:color="auto" w:fill="auto"/>
        <w:spacing w:before="60" w:after="60" w:line="336" w:lineRule="auto"/>
        <w:ind w:left="720" w:right="20" w:hanging="360"/>
        <w:rPr>
          <w:rFonts w:asciiTheme="minorHAnsi" w:hAnsiTheme="minorHAnsi" w:cstheme="minorHAnsi"/>
          <w:sz w:val="24"/>
          <w:szCs w:val="24"/>
        </w:rPr>
      </w:pPr>
      <w:r>
        <w:rPr>
          <w:rFonts w:asciiTheme="minorHAnsi" w:hAnsiTheme="minorHAnsi" w:cstheme="minorHAnsi"/>
          <w:sz w:val="24"/>
          <w:szCs w:val="24"/>
        </w:rPr>
        <w:t xml:space="preserve"> είτε να επαναπροσδιοριστούν οι αρμοδιότητες των υπαρχόντων τμημάτων/μονάδων ως προς εκείνες που προβλέπονται στο άρθρο 129 του Ν.4635/2019,</w:t>
      </w:r>
    </w:p>
    <w:p w14:paraId="4C09C8F4" w14:textId="77777777" w:rsidR="002A2422" w:rsidRDefault="003B3AD7">
      <w:pPr>
        <w:pStyle w:val="14"/>
        <w:shd w:val="clear" w:color="auto" w:fill="auto"/>
        <w:spacing w:before="60" w:after="60" w:line="336" w:lineRule="auto"/>
        <w:ind w:left="20" w:right="20" w:firstLine="0"/>
        <w:rPr>
          <w:rFonts w:asciiTheme="minorHAnsi" w:hAnsiTheme="minorHAnsi" w:cstheme="minorHAnsi"/>
          <w:sz w:val="24"/>
          <w:szCs w:val="24"/>
        </w:rPr>
      </w:pPr>
      <w:r>
        <w:rPr>
          <w:rFonts w:asciiTheme="minorHAnsi" w:hAnsiTheme="minorHAnsi" w:cstheme="minorHAnsi"/>
          <w:sz w:val="24"/>
          <w:szCs w:val="24"/>
        </w:rPr>
        <w:lastRenderedPageBreak/>
        <w:t>Το προσωπικό που θα μπορούσε κατ' ελάχιστον να στελεχώσει τις 2 παραπάνω προτεινόμενες ενότητες είναι 5-6 στελέχη ανά ενότητα με προτεραιότητα τις ειδικότητες ΠΕ/ΤΕ Οικονομικού-Διοικητικού, ΠΕ/ΤΕ Μηχανικών και ΠΕ Νομικών. Ο αριθμός των στελεχών είναι σε συνάρτηση με τον συνολικό αριθμό των έργων που καλούνται να διαχειριστούν κάθε φορά.</w:t>
      </w:r>
    </w:p>
    <w:p w14:paraId="2E6F23A4" w14:textId="77777777" w:rsidR="002A2422" w:rsidRDefault="002A2422">
      <w:pPr>
        <w:pStyle w:val="14"/>
        <w:shd w:val="clear" w:color="auto" w:fill="auto"/>
        <w:spacing w:before="60" w:after="60" w:line="336" w:lineRule="auto"/>
        <w:ind w:left="20" w:right="20" w:firstLine="0"/>
        <w:rPr>
          <w:rFonts w:asciiTheme="minorHAnsi" w:hAnsiTheme="minorHAnsi" w:cstheme="minorHAnsi"/>
          <w:sz w:val="24"/>
          <w:szCs w:val="24"/>
        </w:rPr>
      </w:pPr>
    </w:p>
    <w:p w14:paraId="78B70CBD" w14:textId="77777777" w:rsidR="002A2422" w:rsidRDefault="003B3AD7">
      <w:pPr>
        <w:pStyle w:val="1"/>
      </w:pPr>
      <w:bookmarkStart w:id="87" w:name="_Toc73665497"/>
      <w:bookmarkStart w:id="88" w:name="_Toc68011218"/>
      <w:bookmarkStart w:id="89" w:name="bookmark19"/>
      <w:bookmarkStart w:id="90" w:name="bookmark20"/>
      <w:r>
        <w:rPr>
          <w:rStyle w:val="Heading20"/>
          <w:rFonts w:asciiTheme="minorHAnsi" w:hAnsiTheme="minorHAnsi" w:cstheme="minorHAnsi"/>
          <w:sz w:val="24"/>
          <w:szCs w:val="24"/>
        </w:rPr>
        <w:t>Πρόταση ΥΠΠΟΑ για την ΥΔ του ΤΠΑ</w:t>
      </w:r>
      <w:bookmarkEnd w:id="87"/>
      <w:bookmarkEnd w:id="88"/>
      <w:bookmarkEnd w:id="89"/>
      <w:bookmarkEnd w:id="90"/>
    </w:p>
    <w:p w14:paraId="2170976A" w14:textId="46536CBF" w:rsidR="002A2422" w:rsidRDefault="00E915C3">
      <w:pPr>
        <w:pStyle w:val="14"/>
        <w:shd w:val="clear" w:color="auto" w:fill="auto"/>
        <w:spacing w:before="60" w:after="60" w:line="336" w:lineRule="auto"/>
        <w:ind w:left="20" w:right="20" w:firstLine="0"/>
        <w:rPr>
          <w:rFonts w:asciiTheme="minorHAnsi" w:hAnsiTheme="minorHAnsi" w:cstheme="minorHAnsi"/>
          <w:sz w:val="24"/>
          <w:szCs w:val="24"/>
        </w:rPr>
      </w:pPr>
      <w:r>
        <w:rPr>
          <w:rFonts w:asciiTheme="minorHAnsi" w:hAnsiTheme="minorHAnsi" w:cstheme="minorHAnsi"/>
          <w:sz w:val="24"/>
          <w:szCs w:val="24"/>
        </w:rPr>
        <w:t>Ως</w:t>
      </w:r>
      <w:r w:rsidR="003B3AD7">
        <w:rPr>
          <w:rFonts w:asciiTheme="minorHAnsi" w:hAnsiTheme="minorHAnsi" w:cstheme="minorHAnsi"/>
          <w:sz w:val="24"/>
          <w:szCs w:val="24"/>
        </w:rPr>
        <w:t xml:space="preserve"> υπηρεσία διαχείρισης του ΤΠΑ </w:t>
      </w:r>
      <w:r>
        <w:rPr>
          <w:rFonts w:asciiTheme="minorHAnsi" w:hAnsiTheme="minorHAnsi" w:cstheme="minorHAnsi"/>
          <w:sz w:val="24"/>
          <w:szCs w:val="24"/>
        </w:rPr>
        <w:t xml:space="preserve">ορίζεται η Γενική Διεύθυνση Οικονομικών Υπηρεσιών του ΥΠΠΟΑ η οποία </w:t>
      </w:r>
      <w:r w:rsidR="003B3AD7">
        <w:rPr>
          <w:rFonts w:asciiTheme="minorHAnsi" w:hAnsiTheme="minorHAnsi" w:cstheme="minorHAnsi"/>
          <w:sz w:val="24"/>
          <w:szCs w:val="24"/>
        </w:rPr>
        <w:t>καλύπτει πλήρως τις απαραίτητες προϋποθέσεις διαθέτοντας:</w:t>
      </w:r>
    </w:p>
    <w:p w14:paraId="776D6E95" w14:textId="77777777" w:rsidR="002A2422" w:rsidRDefault="003B3AD7">
      <w:pPr>
        <w:pStyle w:val="14"/>
        <w:numPr>
          <w:ilvl w:val="0"/>
          <w:numId w:val="25"/>
        </w:numPr>
        <w:shd w:val="clear" w:color="auto" w:fill="auto"/>
        <w:spacing w:before="60" w:after="60" w:line="336" w:lineRule="auto"/>
        <w:ind w:left="720" w:hanging="340"/>
        <w:rPr>
          <w:rFonts w:asciiTheme="minorHAnsi" w:hAnsiTheme="minorHAnsi" w:cstheme="minorHAnsi"/>
          <w:sz w:val="24"/>
          <w:szCs w:val="24"/>
        </w:rPr>
      </w:pPr>
      <w:r>
        <w:rPr>
          <w:rFonts w:asciiTheme="minorHAnsi" w:hAnsiTheme="minorHAnsi" w:cstheme="minorHAnsi"/>
          <w:sz w:val="24"/>
          <w:szCs w:val="24"/>
        </w:rPr>
        <w:t xml:space="preserve"> Τις απαραίτητες οργανωτικές μονάδες (υπάρχουσες ή νέες).</w:t>
      </w:r>
    </w:p>
    <w:p w14:paraId="3C38495C" w14:textId="77777777" w:rsidR="002A2422" w:rsidRDefault="003B3AD7">
      <w:pPr>
        <w:pStyle w:val="14"/>
        <w:numPr>
          <w:ilvl w:val="0"/>
          <w:numId w:val="25"/>
        </w:numPr>
        <w:shd w:val="clear" w:color="auto" w:fill="auto"/>
        <w:spacing w:before="60" w:after="60" w:line="336" w:lineRule="auto"/>
        <w:ind w:left="720" w:right="20" w:hanging="340"/>
        <w:rPr>
          <w:rFonts w:asciiTheme="minorHAnsi" w:hAnsiTheme="minorHAnsi" w:cstheme="minorHAnsi"/>
          <w:sz w:val="24"/>
          <w:szCs w:val="24"/>
        </w:rPr>
      </w:pPr>
      <w:r>
        <w:rPr>
          <w:rFonts w:asciiTheme="minorHAnsi" w:hAnsiTheme="minorHAnsi" w:cstheme="minorHAnsi"/>
          <w:sz w:val="24"/>
          <w:szCs w:val="24"/>
        </w:rPr>
        <w:t xml:space="preserve"> Το στελεχιακό δυναμικό που απασχολείται ή θα απασχοληθεί στις εμπλεκόμενες μονάδες, και έχει την αρμόδια ειδικότητα και εμπειρία για τη διαχείριση του προγράμματος.</w:t>
      </w:r>
    </w:p>
    <w:p w14:paraId="56631261" w14:textId="77777777" w:rsidR="002A2422" w:rsidRDefault="003B3AD7">
      <w:pPr>
        <w:pStyle w:val="14"/>
        <w:numPr>
          <w:ilvl w:val="0"/>
          <w:numId w:val="25"/>
        </w:numPr>
        <w:shd w:val="clear" w:color="auto" w:fill="auto"/>
        <w:spacing w:before="60" w:after="60" w:line="336" w:lineRule="auto"/>
        <w:ind w:left="720" w:right="20" w:hanging="340"/>
        <w:rPr>
          <w:rFonts w:asciiTheme="minorHAnsi" w:hAnsiTheme="minorHAnsi" w:cstheme="minorHAnsi"/>
          <w:sz w:val="24"/>
          <w:szCs w:val="24"/>
        </w:rPr>
      </w:pPr>
      <w:r>
        <w:rPr>
          <w:rFonts w:asciiTheme="minorHAnsi" w:hAnsiTheme="minorHAnsi" w:cstheme="minorHAnsi"/>
          <w:sz w:val="24"/>
          <w:szCs w:val="24"/>
        </w:rPr>
        <w:t xml:space="preserve"> Σαφή καθορισμό των κυρίων αρμοδιοτήτων των τμημάτων/μονάδων, όπως και των λοιπών εσωτερικών ή / και εξωτερικών υπηρεσιών / τμημάτων που θα εμπλακούν στην υλοποίηση έργων του προγράμματος, του ρόλου τους καθώς και του τρόπου συντονισμού τους.</w:t>
      </w:r>
    </w:p>
    <w:p w14:paraId="31C509C7" w14:textId="77777777" w:rsidR="002A2422" w:rsidRDefault="002A2422">
      <w:pPr>
        <w:pStyle w:val="14"/>
        <w:shd w:val="clear" w:color="auto" w:fill="auto"/>
        <w:spacing w:before="60" w:after="60" w:line="360" w:lineRule="auto"/>
        <w:ind w:left="20" w:right="20" w:firstLine="0"/>
        <w:rPr>
          <w:rFonts w:asciiTheme="minorHAnsi" w:hAnsiTheme="minorHAnsi" w:cstheme="minorHAnsi"/>
          <w:sz w:val="24"/>
          <w:szCs w:val="24"/>
        </w:rPr>
      </w:pPr>
    </w:p>
    <w:p w14:paraId="6F14D867" w14:textId="77777777" w:rsidR="002A2422" w:rsidRDefault="002A2422">
      <w:pPr>
        <w:pStyle w:val="14"/>
        <w:shd w:val="clear" w:color="auto" w:fill="auto"/>
        <w:spacing w:before="60" w:after="60" w:line="360" w:lineRule="auto"/>
        <w:ind w:left="20" w:right="20" w:firstLine="0"/>
        <w:rPr>
          <w:rFonts w:asciiTheme="minorHAnsi" w:hAnsiTheme="minorHAnsi" w:cstheme="minorHAnsi"/>
          <w:sz w:val="24"/>
          <w:szCs w:val="24"/>
        </w:rPr>
        <w:sectPr w:rsidR="002A2422">
          <w:headerReference w:type="default" r:id="rId33"/>
          <w:pgSz w:w="11909" w:h="16838"/>
          <w:pgMar w:top="652" w:right="1126" w:bottom="1386" w:left="1130" w:header="0" w:footer="3" w:gutter="0"/>
          <w:pgNumType w:start="60"/>
          <w:cols w:space="720"/>
          <w:docGrid w:linePitch="360"/>
        </w:sectPr>
      </w:pPr>
    </w:p>
    <w:p w14:paraId="0DBEE1B4" w14:textId="77777777" w:rsidR="002A2422" w:rsidRDefault="003B3AD7">
      <w:pPr>
        <w:pStyle w:val="1"/>
      </w:pPr>
      <w:bookmarkStart w:id="91" w:name="bookmark22"/>
      <w:bookmarkStart w:id="92" w:name="_Toc73665498"/>
      <w:bookmarkStart w:id="93" w:name="bookmark21"/>
      <w:r>
        <w:rPr>
          <w:rStyle w:val="Heading10"/>
          <w:rFonts w:asciiTheme="majorHAnsi" w:hAnsiTheme="majorHAnsi" w:cstheme="majorHAnsi"/>
          <w:sz w:val="28"/>
          <w:szCs w:val="28"/>
        </w:rPr>
        <w:t>ΚΡΙΤΗΡΙΑ ΕΠΙΛΟΓΗΣ ΕΡΓΩΝ</w:t>
      </w:r>
      <w:bookmarkEnd w:id="91"/>
      <w:bookmarkEnd w:id="92"/>
      <w:bookmarkEnd w:id="93"/>
    </w:p>
    <w:p w14:paraId="6EE57AA6"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Βασικό στάδιο των επιμέρους διαδικασιών επιλογής και έγκρισης των έργων είναι η αξιολόγηση των αιτημάτων χρηματοδότησης που υποβάλλουν οι δυνητικοί δικαιούχοι, κατόπιν πρόσκλησης που εκδίδει η ΥΔ.</w:t>
      </w:r>
    </w:p>
    <w:p w14:paraId="749F1E59"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lang w:val="en-US" w:eastAsia="en-US" w:bidi="en-US"/>
        </w:rPr>
        <w:t>H</w:t>
      </w:r>
      <w:r>
        <w:rPr>
          <w:rFonts w:asciiTheme="minorHAnsi" w:hAnsiTheme="minorHAnsi" w:cstheme="minorHAnsi"/>
          <w:sz w:val="24"/>
          <w:szCs w:val="24"/>
          <w:lang w:eastAsia="en-US" w:bidi="en-US"/>
        </w:rPr>
        <w:t xml:space="preserve"> </w:t>
      </w:r>
      <w:r>
        <w:rPr>
          <w:rFonts w:asciiTheme="minorHAnsi" w:hAnsiTheme="minorHAnsi" w:cstheme="minorHAnsi"/>
          <w:sz w:val="24"/>
          <w:szCs w:val="24"/>
        </w:rPr>
        <w:t>αξιολόγηση των προτάσεων γίνεται σύμφωνα με τα κριτήρια επιλογής που ορίζονται στην πρόσκληση ή στην ανακοίνωση της πρόθεσης χρηματοδότησης και τα οποία κατηγοριοποιούνται, κατ' ελάχιστον, στις ακόλουθες ομάδες κριτηρίων (βλ. υποπαράγραφο Α του άρθρου 129 του ν. 4635/2019).</w:t>
      </w:r>
    </w:p>
    <w:p w14:paraId="175C39D7" w14:textId="77777777" w:rsidR="002A2422" w:rsidRDefault="003B3AD7">
      <w:pPr>
        <w:pStyle w:val="14"/>
        <w:numPr>
          <w:ilvl w:val="0"/>
          <w:numId w:val="27"/>
        </w:numPr>
        <w:shd w:val="clear" w:color="auto" w:fill="auto"/>
        <w:spacing w:before="60" w:after="60" w:line="360" w:lineRule="auto"/>
        <w:ind w:left="644" w:hanging="360"/>
        <w:rPr>
          <w:rFonts w:asciiTheme="minorHAnsi" w:hAnsiTheme="minorHAnsi" w:cstheme="minorHAnsi"/>
          <w:sz w:val="24"/>
          <w:szCs w:val="24"/>
        </w:rPr>
      </w:pPr>
      <w:r>
        <w:rPr>
          <w:rFonts w:asciiTheme="minorHAnsi" w:hAnsiTheme="minorHAnsi" w:cstheme="minorHAnsi"/>
          <w:sz w:val="24"/>
          <w:szCs w:val="24"/>
        </w:rPr>
        <w:t xml:space="preserve"> Πληρότητα και σαφήνεια του περιεχομένου της πρότασης και τήρηση του θεσμικού πλαισίου.</w:t>
      </w:r>
    </w:p>
    <w:p w14:paraId="4823AA2C" w14:textId="77777777" w:rsidR="002A2422" w:rsidRDefault="003B3AD7">
      <w:pPr>
        <w:pStyle w:val="14"/>
        <w:numPr>
          <w:ilvl w:val="0"/>
          <w:numId w:val="27"/>
        </w:numPr>
        <w:shd w:val="clear" w:color="auto" w:fill="auto"/>
        <w:spacing w:before="60" w:after="60" w:line="360" w:lineRule="auto"/>
        <w:ind w:left="644" w:hanging="360"/>
        <w:rPr>
          <w:rFonts w:asciiTheme="minorHAnsi" w:hAnsiTheme="minorHAnsi" w:cstheme="minorHAnsi"/>
          <w:sz w:val="24"/>
          <w:szCs w:val="24"/>
        </w:rPr>
      </w:pPr>
      <w:r>
        <w:rPr>
          <w:rFonts w:asciiTheme="minorHAnsi" w:hAnsiTheme="minorHAnsi" w:cstheme="minorHAnsi"/>
          <w:sz w:val="24"/>
          <w:szCs w:val="24"/>
        </w:rPr>
        <w:t xml:space="preserve"> Σκοπιμότητα του έργου.</w:t>
      </w:r>
    </w:p>
    <w:p w14:paraId="1B443540" w14:textId="77777777" w:rsidR="002A2422" w:rsidRDefault="003B3AD7">
      <w:pPr>
        <w:pStyle w:val="14"/>
        <w:numPr>
          <w:ilvl w:val="0"/>
          <w:numId w:val="27"/>
        </w:numPr>
        <w:shd w:val="clear" w:color="auto" w:fill="auto"/>
        <w:spacing w:before="60" w:after="60" w:line="360" w:lineRule="auto"/>
        <w:ind w:left="644" w:hanging="360"/>
        <w:rPr>
          <w:rFonts w:asciiTheme="minorHAnsi" w:hAnsiTheme="minorHAnsi" w:cstheme="minorHAnsi"/>
          <w:sz w:val="24"/>
          <w:szCs w:val="24"/>
        </w:rPr>
      </w:pPr>
      <w:r>
        <w:rPr>
          <w:rFonts w:asciiTheme="minorHAnsi" w:hAnsiTheme="minorHAnsi" w:cstheme="minorHAnsi"/>
          <w:sz w:val="24"/>
          <w:szCs w:val="24"/>
        </w:rPr>
        <w:t xml:space="preserve"> Ωριμότητα του έργου.</w:t>
      </w:r>
    </w:p>
    <w:p w14:paraId="22BB94DE" w14:textId="77777777" w:rsidR="002A2422" w:rsidRDefault="003B3AD7">
      <w:pPr>
        <w:pStyle w:val="14"/>
        <w:numPr>
          <w:ilvl w:val="0"/>
          <w:numId w:val="27"/>
        </w:numPr>
        <w:shd w:val="clear" w:color="auto" w:fill="auto"/>
        <w:spacing w:before="60" w:after="60" w:line="360" w:lineRule="auto"/>
        <w:ind w:left="644" w:hanging="360"/>
        <w:rPr>
          <w:rFonts w:asciiTheme="minorHAnsi" w:hAnsiTheme="minorHAnsi" w:cstheme="minorHAnsi"/>
          <w:sz w:val="24"/>
          <w:szCs w:val="24"/>
        </w:rPr>
      </w:pPr>
      <w:r>
        <w:rPr>
          <w:rFonts w:asciiTheme="minorHAnsi" w:hAnsiTheme="minorHAnsi" w:cstheme="minorHAnsi"/>
          <w:sz w:val="24"/>
          <w:szCs w:val="24"/>
        </w:rPr>
        <w:t xml:space="preserve"> Επιχειρησιακή ικανότητα του δικαιούχου.</w:t>
      </w:r>
    </w:p>
    <w:p w14:paraId="114AE078"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 xml:space="preserve">Η μεθοδολογία αξιολόγησης καθώς και τα κριτήρια αξιολόγησης των αιτήσεων χρηματοδότησης συντάσσονται από την ΥΔ. Τα κριτήρια θα πρέπει να είναι σαφώς περιγεγραμμένα στην πρόσκληση </w:t>
      </w:r>
      <w:r>
        <w:rPr>
          <w:rFonts w:asciiTheme="minorHAnsi" w:hAnsiTheme="minorHAnsi" w:cstheme="minorHAnsi"/>
          <w:sz w:val="24"/>
          <w:szCs w:val="24"/>
        </w:rPr>
        <w:lastRenderedPageBreak/>
        <w:t>υποβολής προτάσεων, ώστε να είναι εκ των προτέρων γνωστοί οι όροι και οι προϋποθέσεις αξιολόγησης των αιτήσεων. Τα κριτήρια επιλογής θα πρέπει να:</w:t>
      </w:r>
    </w:p>
    <w:p w14:paraId="00920A94" w14:textId="77777777" w:rsidR="002A2422" w:rsidRDefault="003B3AD7">
      <w:pPr>
        <w:pStyle w:val="14"/>
        <w:numPr>
          <w:ilvl w:val="0"/>
          <w:numId w:val="28"/>
        </w:numPr>
        <w:shd w:val="clear" w:color="auto" w:fill="auto"/>
        <w:spacing w:before="60" w:after="60" w:line="360" w:lineRule="auto"/>
        <w:ind w:left="1080" w:hanging="360"/>
        <w:jc w:val="left"/>
        <w:rPr>
          <w:rFonts w:asciiTheme="minorHAnsi" w:hAnsiTheme="minorHAnsi" w:cstheme="minorHAnsi"/>
          <w:sz w:val="24"/>
          <w:szCs w:val="24"/>
        </w:rPr>
      </w:pPr>
      <w:r>
        <w:rPr>
          <w:rFonts w:asciiTheme="minorHAnsi" w:hAnsiTheme="minorHAnsi" w:cstheme="minorHAnsi"/>
          <w:sz w:val="24"/>
          <w:szCs w:val="24"/>
          <w:lang w:eastAsia="en-US" w:bidi="en-US"/>
        </w:rPr>
        <w:t xml:space="preserve"> </w:t>
      </w:r>
      <w:r>
        <w:rPr>
          <w:rFonts w:asciiTheme="minorHAnsi" w:hAnsiTheme="minorHAnsi" w:cstheme="minorHAnsi"/>
          <w:sz w:val="24"/>
          <w:szCs w:val="24"/>
        </w:rPr>
        <w:t>μην οδηγούν σε διακριτική μεταχείριση των δυνητικών δικαιούχων</w:t>
      </w:r>
    </w:p>
    <w:p w14:paraId="7DAC7EF8" w14:textId="77777777" w:rsidR="002A2422" w:rsidRDefault="003B3AD7">
      <w:pPr>
        <w:pStyle w:val="14"/>
        <w:numPr>
          <w:ilvl w:val="0"/>
          <w:numId w:val="28"/>
        </w:numPr>
        <w:shd w:val="clear" w:color="auto" w:fill="auto"/>
        <w:spacing w:before="60" w:after="60" w:line="360" w:lineRule="auto"/>
        <w:ind w:left="1080" w:hanging="360"/>
        <w:jc w:val="left"/>
        <w:rPr>
          <w:rFonts w:asciiTheme="minorHAnsi" w:hAnsiTheme="minorHAnsi" w:cstheme="minorHAnsi"/>
          <w:sz w:val="24"/>
          <w:szCs w:val="24"/>
        </w:rPr>
      </w:pPr>
      <w:r>
        <w:rPr>
          <w:rFonts w:asciiTheme="minorHAnsi" w:hAnsiTheme="minorHAnsi" w:cstheme="minorHAnsi"/>
          <w:sz w:val="24"/>
          <w:szCs w:val="24"/>
          <w:lang w:eastAsia="en-US" w:bidi="en-US"/>
        </w:rPr>
        <w:t xml:space="preserve"> </w:t>
      </w:r>
      <w:r>
        <w:rPr>
          <w:rFonts w:asciiTheme="minorHAnsi" w:hAnsiTheme="minorHAnsi" w:cstheme="minorHAnsi"/>
          <w:sz w:val="24"/>
          <w:szCs w:val="24"/>
        </w:rPr>
        <w:t>είναι διαφανή, αντικειμενικά και εύκολα επαληθεύσιμα</w:t>
      </w:r>
    </w:p>
    <w:p w14:paraId="5D8FDA91" w14:textId="77777777" w:rsidR="002A2422" w:rsidRDefault="003B3AD7">
      <w:pPr>
        <w:pStyle w:val="14"/>
        <w:numPr>
          <w:ilvl w:val="0"/>
          <w:numId w:val="28"/>
        </w:numPr>
        <w:shd w:val="clear" w:color="auto" w:fill="auto"/>
        <w:spacing w:before="60" w:after="60" w:line="360" w:lineRule="auto"/>
        <w:ind w:left="720" w:right="20" w:hanging="360"/>
        <w:jc w:val="left"/>
        <w:rPr>
          <w:rFonts w:asciiTheme="minorHAnsi" w:hAnsiTheme="minorHAnsi" w:cstheme="minorHAnsi"/>
          <w:sz w:val="24"/>
          <w:szCs w:val="24"/>
        </w:rPr>
      </w:pPr>
      <w:r>
        <w:rPr>
          <w:rFonts w:asciiTheme="minorHAnsi" w:hAnsiTheme="minorHAnsi" w:cstheme="minorHAnsi"/>
          <w:sz w:val="24"/>
          <w:szCs w:val="24"/>
          <w:lang w:eastAsia="en-US" w:bidi="en-US"/>
        </w:rPr>
        <w:t xml:space="preserve"> </w:t>
      </w:r>
      <w:r>
        <w:rPr>
          <w:rFonts w:asciiTheme="minorHAnsi" w:hAnsiTheme="minorHAnsi" w:cstheme="minorHAnsi"/>
          <w:sz w:val="24"/>
          <w:szCs w:val="24"/>
        </w:rPr>
        <w:t>διασφαλίζουν την επιλογή έργων που συμβάλλουν στην επίτευξη των αποτελεσμάτων της σχετικής προτεραιότητας.</w:t>
      </w:r>
    </w:p>
    <w:p w14:paraId="72C0D666"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Η επιλογή της μεθοδολογίας αξιολόγησης, η προσαρμογή (προσθήκη, εξειδίκευση) των προτεινόμενων κριτηρίων αξιολόγησης, καθώς και η βαρύτητα και η βαθμολόγηση αυτών, που θα γίνει από τη ΥΔ διαφοροποιείται ανάλογα με τις δράσεις και τους ειδικότερους στόχους της πρόσκλησης και εγκρίνονται από τον/την Υπουργό.</w:t>
      </w:r>
    </w:p>
    <w:p w14:paraId="6AEDEC35"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Είναι προφανές ότι τα εγκεκριμένα κριτήρια δεν μπορούν να τροποποιούνται κατά τη διαδικασία της επιλογής των έργων στο πλαίσιο της ίδιας πρόσκλησης.</w:t>
      </w:r>
    </w:p>
    <w:p w14:paraId="448B8F7C" w14:textId="77777777" w:rsidR="002A2422" w:rsidRDefault="003B3AD7">
      <w:pPr>
        <w:pStyle w:val="14"/>
        <w:shd w:val="clear" w:color="auto" w:fill="auto"/>
        <w:spacing w:before="60" w:after="60" w:line="360" w:lineRule="auto"/>
        <w:ind w:left="20" w:firstLine="0"/>
        <w:rPr>
          <w:rFonts w:asciiTheme="minorHAnsi" w:hAnsiTheme="minorHAnsi" w:cstheme="minorHAnsi"/>
          <w:sz w:val="24"/>
          <w:szCs w:val="24"/>
        </w:rPr>
      </w:pPr>
      <w:r>
        <w:rPr>
          <w:rFonts w:asciiTheme="minorHAnsi" w:hAnsiTheme="minorHAnsi" w:cstheme="minorHAnsi"/>
          <w:sz w:val="24"/>
          <w:szCs w:val="24"/>
        </w:rPr>
        <w:t>Οι βασικές μεθοδολογίες αξιολόγησης είναι:</w:t>
      </w:r>
    </w:p>
    <w:p w14:paraId="390C66FB" w14:textId="77777777" w:rsidR="002A2422" w:rsidRDefault="003B3AD7">
      <w:pPr>
        <w:pStyle w:val="14"/>
        <w:numPr>
          <w:ilvl w:val="0"/>
          <w:numId w:val="29"/>
        </w:numPr>
        <w:shd w:val="clear" w:color="auto" w:fill="auto"/>
        <w:spacing w:before="60" w:after="60" w:line="360" w:lineRule="auto"/>
        <w:ind w:left="720" w:hanging="360"/>
        <w:rPr>
          <w:rFonts w:asciiTheme="minorHAnsi" w:hAnsiTheme="minorHAnsi" w:cstheme="minorHAnsi"/>
          <w:sz w:val="24"/>
          <w:szCs w:val="24"/>
        </w:rPr>
      </w:pPr>
      <w:r>
        <w:rPr>
          <w:rFonts w:asciiTheme="minorHAnsi" w:hAnsiTheme="minorHAnsi" w:cstheme="minorHAnsi"/>
          <w:sz w:val="24"/>
          <w:szCs w:val="24"/>
          <w:lang w:eastAsia="en-US" w:bidi="en-US"/>
        </w:rPr>
        <w:t xml:space="preserve"> </w:t>
      </w:r>
      <w:r>
        <w:rPr>
          <w:rFonts w:asciiTheme="minorHAnsi" w:hAnsiTheme="minorHAnsi" w:cstheme="minorHAnsi"/>
          <w:sz w:val="24"/>
          <w:szCs w:val="24"/>
        </w:rPr>
        <w:t>Άμεση αξιολόγηση</w:t>
      </w:r>
    </w:p>
    <w:p w14:paraId="2BD78A58" w14:textId="77777777" w:rsidR="002A2422" w:rsidRDefault="003B3AD7">
      <w:pPr>
        <w:pStyle w:val="14"/>
        <w:numPr>
          <w:ilvl w:val="0"/>
          <w:numId w:val="29"/>
        </w:numPr>
        <w:shd w:val="clear" w:color="auto" w:fill="auto"/>
        <w:spacing w:before="60" w:after="60" w:line="360" w:lineRule="auto"/>
        <w:ind w:left="720" w:hanging="360"/>
        <w:rPr>
          <w:rFonts w:asciiTheme="minorHAnsi" w:hAnsiTheme="minorHAnsi" w:cstheme="minorHAnsi"/>
          <w:sz w:val="24"/>
          <w:szCs w:val="24"/>
        </w:rPr>
      </w:pPr>
      <w:r>
        <w:rPr>
          <w:rFonts w:asciiTheme="minorHAnsi" w:hAnsiTheme="minorHAnsi" w:cstheme="minorHAnsi"/>
          <w:sz w:val="24"/>
          <w:szCs w:val="24"/>
          <w:lang w:val="en-US" w:eastAsia="en-US" w:bidi="en-US"/>
        </w:rPr>
        <w:t xml:space="preserve"> </w:t>
      </w:r>
      <w:r>
        <w:rPr>
          <w:rFonts w:asciiTheme="minorHAnsi" w:hAnsiTheme="minorHAnsi" w:cstheme="minorHAnsi"/>
          <w:sz w:val="24"/>
          <w:szCs w:val="24"/>
        </w:rPr>
        <w:t>Συγκριτική αξιολόγηση</w:t>
      </w:r>
    </w:p>
    <w:p w14:paraId="06E31FAC"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Για τη λήψη της απόφασης σχετικά με τη μεθοδολογία αξιολόγησης που θα επιλεγεί, πρέπει να συνεκτιμηθούν τα πλεονεκτήματα και τα μειονεκτήματα της κάθε μεθόδου.</w:t>
      </w:r>
    </w:p>
    <w:p w14:paraId="5242CAD2" w14:textId="77777777" w:rsidR="002A2422" w:rsidRDefault="003B3AD7">
      <w:pPr>
        <w:pStyle w:val="14"/>
        <w:shd w:val="clear" w:color="auto" w:fill="auto"/>
        <w:spacing w:before="60" w:after="60" w:line="360" w:lineRule="auto"/>
        <w:ind w:left="20" w:firstLine="0"/>
        <w:rPr>
          <w:rFonts w:asciiTheme="minorHAnsi" w:hAnsiTheme="minorHAnsi" w:cstheme="minorHAnsi"/>
          <w:sz w:val="24"/>
          <w:szCs w:val="24"/>
        </w:rPr>
      </w:pPr>
      <w:r>
        <w:rPr>
          <w:rFonts w:asciiTheme="minorHAnsi" w:hAnsiTheme="minorHAnsi" w:cstheme="minorHAnsi"/>
          <w:sz w:val="24"/>
          <w:szCs w:val="24"/>
        </w:rPr>
        <w:t>Η διαδικασία αξιολόγησης των προτεινόμενων προς χρηματοδότηση έργων διενεργείται σε δύο στάδια:</w:t>
      </w:r>
    </w:p>
    <w:p w14:paraId="676BC31D" w14:textId="77777777" w:rsidR="002A2422" w:rsidRDefault="003B3AD7">
      <w:pPr>
        <w:pStyle w:val="14"/>
        <w:numPr>
          <w:ilvl w:val="0"/>
          <w:numId w:val="30"/>
        </w:numPr>
        <w:shd w:val="clear" w:color="auto" w:fill="auto"/>
        <w:tabs>
          <w:tab w:val="left" w:pos="706"/>
        </w:tabs>
        <w:spacing w:before="60" w:after="60" w:line="360" w:lineRule="auto"/>
        <w:ind w:left="720" w:hanging="360"/>
        <w:rPr>
          <w:rFonts w:asciiTheme="minorHAnsi" w:hAnsiTheme="minorHAnsi" w:cstheme="minorHAnsi"/>
          <w:sz w:val="24"/>
          <w:szCs w:val="24"/>
        </w:rPr>
      </w:pPr>
      <w:r>
        <w:rPr>
          <w:rFonts w:asciiTheme="minorHAnsi" w:hAnsiTheme="minorHAnsi" w:cstheme="minorHAnsi"/>
          <w:sz w:val="24"/>
          <w:szCs w:val="24"/>
        </w:rPr>
        <w:t>ΣΤΑΔΙΟ Α': Έλεγχος πληρότητας και επιλεξιμότητας πρότασης</w:t>
      </w:r>
    </w:p>
    <w:p w14:paraId="2C290DCC" w14:textId="77777777" w:rsidR="002A2422" w:rsidRDefault="003B3AD7">
      <w:pPr>
        <w:pStyle w:val="14"/>
        <w:numPr>
          <w:ilvl w:val="0"/>
          <w:numId w:val="30"/>
        </w:numPr>
        <w:shd w:val="clear" w:color="auto" w:fill="auto"/>
        <w:tabs>
          <w:tab w:val="left" w:pos="706"/>
        </w:tabs>
        <w:spacing w:before="60" w:after="60" w:line="360" w:lineRule="auto"/>
        <w:ind w:left="720" w:hanging="360"/>
        <w:rPr>
          <w:rFonts w:asciiTheme="minorHAnsi" w:hAnsiTheme="minorHAnsi" w:cstheme="minorHAnsi"/>
          <w:sz w:val="24"/>
          <w:szCs w:val="24"/>
        </w:rPr>
      </w:pPr>
      <w:r>
        <w:rPr>
          <w:rFonts w:asciiTheme="minorHAnsi" w:hAnsiTheme="minorHAnsi" w:cstheme="minorHAnsi"/>
          <w:sz w:val="24"/>
          <w:szCs w:val="24"/>
        </w:rPr>
        <w:t>ΣΤΑΔΙΟ Β': Αξιολόγηση των προτάσεων ανά κριτήριο / ομάδα κριτηρίων</w:t>
      </w:r>
    </w:p>
    <w:p w14:paraId="3E0311EB"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Η αξιολόγηση πραγματοποιείται από την ΥΔ με τη συνδρομή, ανάλογα με την περίπτωση, και για λόγους που αναφέρονται ή τεκμηριώνονται στην πρόσκληση, αξιολογητών για τους οποίους διασφαλίζεται, σε κάθε περίπτωση, ότι:</w:t>
      </w:r>
    </w:p>
    <w:p w14:paraId="16D330CD" w14:textId="77777777" w:rsidR="002A2422" w:rsidRDefault="003B3AD7">
      <w:pPr>
        <w:pStyle w:val="14"/>
        <w:numPr>
          <w:ilvl w:val="0"/>
          <w:numId w:val="25"/>
        </w:numPr>
        <w:shd w:val="clear" w:color="auto" w:fill="auto"/>
        <w:spacing w:before="60" w:after="60" w:line="360" w:lineRule="auto"/>
        <w:ind w:left="380" w:firstLine="0"/>
        <w:rPr>
          <w:rFonts w:asciiTheme="minorHAnsi" w:hAnsiTheme="minorHAnsi" w:cstheme="minorHAnsi"/>
          <w:sz w:val="24"/>
          <w:szCs w:val="24"/>
        </w:rPr>
      </w:pPr>
      <w:r>
        <w:rPr>
          <w:rFonts w:asciiTheme="minorHAnsi" w:hAnsiTheme="minorHAnsi" w:cstheme="minorHAnsi"/>
          <w:sz w:val="24"/>
          <w:szCs w:val="24"/>
        </w:rPr>
        <w:t xml:space="preserve"> δεν υφίσταται σύγκρουση συμφερόντων</w:t>
      </w:r>
    </w:p>
    <w:p w14:paraId="3F03E670" w14:textId="77777777" w:rsidR="002A2422" w:rsidRDefault="003B3AD7">
      <w:pPr>
        <w:pStyle w:val="14"/>
        <w:numPr>
          <w:ilvl w:val="0"/>
          <w:numId w:val="25"/>
        </w:numPr>
        <w:shd w:val="clear" w:color="auto" w:fill="auto"/>
        <w:spacing w:before="60" w:after="60" w:line="360" w:lineRule="auto"/>
        <w:ind w:left="380" w:firstLine="0"/>
        <w:rPr>
          <w:rFonts w:asciiTheme="minorHAnsi" w:hAnsiTheme="minorHAnsi" w:cstheme="minorHAnsi"/>
          <w:sz w:val="24"/>
          <w:szCs w:val="24"/>
        </w:rPr>
      </w:pPr>
      <w:r>
        <w:rPr>
          <w:rFonts w:asciiTheme="minorHAnsi" w:hAnsiTheme="minorHAnsi" w:cstheme="minorHAnsi"/>
          <w:sz w:val="24"/>
          <w:szCs w:val="24"/>
        </w:rPr>
        <w:t xml:space="preserve"> διαθέτουν την απαιτούμενη εμπειρία και τεχνογνωσία για τη διενέργεια της αξιολόγησης</w:t>
      </w:r>
    </w:p>
    <w:p w14:paraId="13AC38D9"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Το Στάδιο Α' έχει στόχο να διασφαλίσει, ανεξάρτητα από τη μεθοδολογία της αξιολόγησης (συγκριτική ή άμεση), τις ελάχιστες προϋποθέσεις που προβλέπονται στην πρόσκληση ή στο κανονιστικό πλαίσιο, προκειμένου η πρόταση να προχωρήσει στο Στάδιο Β' της αξιολόγησης. Ειδικότερα θα πρέπει να διασφαλιστεί κατ' ελάχιστο ότι:</w:t>
      </w:r>
    </w:p>
    <w:p w14:paraId="510D8E5C" w14:textId="77777777" w:rsidR="002A2422" w:rsidRDefault="003B3AD7">
      <w:pPr>
        <w:pStyle w:val="14"/>
        <w:numPr>
          <w:ilvl w:val="0"/>
          <w:numId w:val="31"/>
        </w:numPr>
        <w:shd w:val="clear" w:color="auto" w:fill="auto"/>
        <w:spacing w:before="60" w:after="60" w:line="360" w:lineRule="auto"/>
        <w:ind w:left="1080" w:hanging="720"/>
        <w:jc w:val="left"/>
        <w:rPr>
          <w:rFonts w:asciiTheme="minorHAnsi" w:hAnsiTheme="minorHAnsi" w:cstheme="minorHAnsi"/>
          <w:sz w:val="24"/>
          <w:szCs w:val="24"/>
        </w:rPr>
      </w:pPr>
      <w:r>
        <w:rPr>
          <w:rFonts w:asciiTheme="minorHAnsi" w:hAnsiTheme="minorHAnsi" w:cstheme="minorHAnsi"/>
          <w:sz w:val="24"/>
          <w:szCs w:val="24"/>
          <w:lang w:eastAsia="en-US" w:bidi="en-US"/>
        </w:rPr>
        <w:lastRenderedPageBreak/>
        <w:t xml:space="preserve"> </w:t>
      </w:r>
      <w:r>
        <w:rPr>
          <w:rFonts w:asciiTheme="minorHAnsi" w:hAnsiTheme="minorHAnsi" w:cstheme="minorHAnsi"/>
          <w:sz w:val="24"/>
          <w:szCs w:val="24"/>
        </w:rPr>
        <w:t>η πρόταση είναι επιλέξιμη προς χρηματοδότηση και</w:t>
      </w:r>
    </w:p>
    <w:p w14:paraId="101B3BBD" w14:textId="77777777" w:rsidR="002A2422" w:rsidRDefault="003B3AD7">
      <w:pPr>
        <w:pStyle w:val="14"/>
        <w:numPr>
          <w:ilvl w:val="0"/>
          <w:numId w:val="31"/>
        </w:numPr>
        <w:shd w:val="clear" w:color="auto" w:fill="auto"/>
        <w:spacing w:before="60" w:after="60" w:line="360" w:lineRule="auto"/>
        <w:ind w:left="1080" w:right="20" w:hanging="720"/>
        <w:jc w:val="left"/>
        <w:rPr>
          <w:rFonts w:asciiTheme="minorHAnsi" w:hAnsiTheme="minorHAnsi" w:cstheme="minorHAnsi"/>
          <w:sz w:val="24"/>
          <w:szCs w:val="24"/>
        </w:rPr>
      </w:pPr>
      <w:r>
        <w:rPr>
          <w:rFonts w:asciiTheme="minorHAnsi" w:hAnsiTheme="minorHAnsi" w:cstheme="minorHAnsi"/>
          <w:sz w:val="24"/>
          <w:szCs w:val="24"/>
          <w:lang w:eastAsia="en-US" w:bidi="en-US"/>
        </w:rPr>
        <w:t xml:space="preserve"> </w:t>
      </w:r>
      <w:r>
        <w:rPr>
          <w:rFonts w:asciiTheme="minorHAnsi" w:hAnsiTheme="minorHAnsi" w:cstheme="minorHAnsi"/>
          <w:sz w:val="24"/>
          <w:szCs w:val="24"/>
        </w:rPr>
        <w:t>η πρόταση είναι πλήρης, δηλαδή το τεχνικό δελτίο έργου είναι συμπληρωμένο σε όλα τα πεδία, και περιλαμβάνει όλα τα έγγραφα που ορίζονται στην πρόσκληση ως αναγκαία επί ποινή αποκλεισμού.</w:t>
      </w:r>
    </w:p>
    <w:p w14:paraId="7FCF6CBE"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Κατά το Στάδιο Β' διενεργείται η αξιολόγηση των προτάσεων σύμφωνα με τα κριτήρια αξιολόγησης, τα οποία διακρίνονται σε τέσσερις βασικές ομάδες. Ακολούθως, παρατίθενται ενδεικτικά στοιχεία που δύνανται να αξιολογηθούν για επιμέρους κριτήρια επιλογής έργων:</w:t>
      </w:r>
    </w:p>
    <w:p w14:paraId="538B9FDF" w14:textId="77777777" w:rsidR="002A2422" w:rsidRDefault="003B3AD7">
      <w:pPr>
        <w:keepNext/>
        <w:keepLines/>
        <w:spacing w:before="60" w:after="60"/>
        <w:ind w:left="20" w:right="20"/>
        <w:rPr>
          <w:rFonts w:asciiTheme="minorHAnsi" w:hAnsiTheme="minorHAnsi" w:cstheme="minorHAnsi"/>
          <w:sz w:val="24"/>
          <w:szCs w:val="24"/>
        </w:rPr>
      </w:pPr>
      <w:bookmarkStart w:id="94" w:name="bookmark23"/>
      <w:r>
        <w:rPr>
          <w:rStyle w:val="Heading30"/>
          <w:rFonts w:asciiTheme="minorHAnsi" w:hAnsiTheme="minorHAnsi" w:cstheme="minorHAnsi"/>
          <w:b w:val="0"/>
          <w:bCs w:val="0"/>
          <w:sz w:val="24"/>
          <w:szCs w:val="24"/>
        </w:rPr>
        <w:t>1η Ομάδα Κριτηρίων</w:t>
      </w:r>
      <w:r>
        <w:rPr>
          <w:rFonts w:asciiTheme="minorHAnsi" w:hAnsiTheme="minorHAnsi" w:cstheme="minorHAnsi"/>
          <w:sz w:val="24"/>
          <w:szCs w:val="24"/>
        </w:rPr>
        <w:t xml:space="preserve"> Πληρότητα και σαφήνεια του περιεχομένου της πρότασης και τήρηση θεσμικού πλαισίου (βαρύτητα: 15%)</w:t>
      </w:r>
      <w:bookmarkEnd w:id="94"/>
    </w:p>
    <w:p w14:paraId="2E8108C0" w14:textId="77777777" w:rsidR="002A2422" w:rsidRDefault="003B3AD7">
      <w:pPr>
        <w:pStyle w:val="14"/>
        <w:shd w:val="clear" w:color="auto" w:fill="auto"/>
        <w:spacing w:before="60" w:after="60" w:line="360" w:lineRule="auto"/>
        <w:ind w:left="20" w:firstLine="0"/>
        <w:rPr>
          <w:rFonts w:asciiTheme="minorHAnsi" w:hAnsiTheme="minorHAnsi" w:cstheme="minorHAnsi"/>
          <w:sz w:val="24"/>
          <w:szCs w:val="24"/>
        </w:rPr>
      </w:pPr>
      <w:r>
        <w:rPr>
          <w:rFonts w:asciiTheme="minorHAnsi" w:hAnsiTheme="minorHAnsi" w:cstheme="minorHAnsi"/>
          <w:sz w:val="24"/>
          <w:szCs w:val="24"/>
        </w:rPr>
        <w:t>Κατά την εξέταση της εν λόγω ομάδας κριτηρίων αξιολογείται:</w:t>
      </w:r>
    </w:p>
    <w:p w14:paraId="27398651" w14:textId="77777777" w:rsidR="002A2422" w:rsidRDefault="003B3AD7">
      <w:pPr>
        <w:pStyle w:val="14"/>
        <w:numPr>
          <w:ilvl w:val="0"/>
          <w:numId w:val="25"/>
        </w:numPr>
        <w:shd w:val="clear" w:color="auto" w:fill="auto"/>
        <w:spacing w:before="60" w:after="60" w:line="360" w:lineRule="auto"/>
        <w:ind w:left="740" w:hanging="340"/>
        <w:jc w:val="left"/>
        <w:rPr>
          <w:rFonts w:asciiTheme="minorHAnsi" w:hAnsiTheme="minorHAnsi" w:cstheme="minorHAnsi"/>
          <w:sz w:val="24"/>
          <w:szCs w:val="24"/>
        </w:rPr>
      </w:pPr>
      <w:r>
        <w:rPr>
          <w:rFonts w:asciiTheme="minorHAnsi" w:hAnsiTheme="minorHAnsi" w:cstheme="minorHAnsi"/>
          <w:sz w:val="24"/>
          <w:szCs w:val="24"/>
        </w:rPr>
        <w:t xml:space="preserve"> η πληρότητα και η σαφήνεια του φυσικού αντικειμένου του προτεινόμενου έργου</w:t>
      </w:r>
    </w:p>
    <w:p w14:paraId="64E29FB9" w14:textId="77777777" w:rsidR="002A2422" w:rsidRDefault="003B3AD7">
      <w:pPr>
        <w:pStyle w:val="14"/>
        <w:numPr>
          <w:ilvl w:val="0"/>
          <w:numId w:val="25"/>
        </w:numPr>
        <w:shd w:val="clear" w:color="auto" w:fill="auto"/>
        <w:spacing w:before="60" w:after="60" w:line="360" w:lineRule="auto"/>
        <w:ind w:left="740" w:right="20" w:hanging="340"/>
        <w:jc w:val="left"/>
        <w:rPr>
          <w:rFonts w:asciiTheme="minorHAnsi" w:hAnsiTheme="minorHAnsi" w:cstheme="minorHAnsi"/>
          <w:sz w:val="24"/>
          <w:szCs w:val="24"/>
        </w:rPr>
      </w:pPr>
      <w:r>
        <w:rPr>
          <w:rFonts w:asciiTheme="minorHAnsi" w:hAnsiTheme="minorHAnsi" w:cstheme="minorHAnsi"/>
          <w:sz w:val="24"/>
          <w:szCs w:val="24"/>
        </w:rPr>
        <w:t xml:space="preserve"> η ρεαλιστικότητα του προϋπολογισμού του έργου σε σχέση με το προτεινόμενο για χρηματοδότηση φυσικό του αντικείμενο</w:t>
      </w:r>
    </w:p>
    <w:p w14:paraId="6516754A" w14:textId="77777777" w:rsidR="002A2422" w:rsidRDefault="003B3AD7">
      <w:pPr>
        <w:pStyle w:val="14"/>
        <w:numPr>
          <w:ilvl w:val="0"/>
          <w:numId w:val="25"/>
        </w:numPr>
        <w:shd w:val="clear" w:color="auto" w:fill="auto"/>
        <w:spacing w:before="60" w:after="60" w:line="360" w:lineRule="auto"/>
        <w:ind w:left="740" w:hanging="340"/>
        <w:jc w:val="left"/>
        <w:rPr>
          <w:rFonts w:asciiTheme="minorHAnsi" w:hAnsiTheme="minorHAnsi" w:cstheme="minorHAnsi"/>
          <w:sz w:val="24"/>
          <w:szCs w:val="24"/>
        </w:rPr>
      </w:pPr>
      <w:r>
        <w:rPr>
          <w:rFonts w:asciiTheme="minorHAnsi" w:hAnsiTheme="minorHAnsi" w:cstheme="minorHAnsi"/>
          <w:sz w:val="24"/>
          <w:szCs w:val="24"/>
        </w:rPr>
        <w:t xml:space="preserve"> η ρεαλιστικότητα του χρονοδιαγράμματος ολοκλήρωσης του έργου</w:t>
      </w:r>
    </w:p>
    <w:p w14:paraId="299E861B" w14:textId="77777777" w:rsidR="002A2422" w:rsidRDefault="003B3AD7">
      <w:pPr>
        <w:pStyle w:val="14"/>
        <w:numPr>
          <w:ilvl w:val="0"/>
          <w:numId w:val="25"/>
        </w:numPr>
        <w:shd w:val="clear" w:color="auto" w:fill="auto"/>
        <w:spacing w:before="60" w:after="60" w:line="360" w:lineRule="auto"/>
        <w:ind w:left="740" w:right="20" w:hanging="340"/>
        <w:jc w:val="left"/>
        <w:rPr>
          <w:rFonts w:asciiTheme="minorHAnsi" w:hAnsiTheme="minorHAnsi" w:cstheme="minorHAnsi"/>
          <w:sz w:val="24"/>
          <w:szCs w:val="24"/>
        </w:rPr>
      </w:pPr>
      <w:r>
        <w:rPr>
          <w:rFonts w:asciiTheme="minorHAnsi" w:hAnsiTheme="minorHAnsi" w:cstheme="minorHAnsi"/>
          <w:sz w:val="24"/>
          <w:szCs w:val="24"/>
        </w:rPr>
        <w:t xml:space="preserve"> η 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w:t>
      </w:r>
    </w:p>
    <w:p w14:paraId="418B74B4" w14:textId="77777777" w:rsidR="002A2422" w:rsidRDefault="003B3AD7">
      <w:pPr>
        <w:pStyle w:val="14"/>
        <w:numPr>
          <w:ilvl w:val="0"/>
          <w:numId w:val="25"/>
        </w:numPr>
        <w:shd w:val="clear" w:color="auto" w:fill="auto"/>
        <w:spacing w:before="60" w:after="60" w:line="360" w:lineRule="auto"/>
        <w:ind w:left="740" w:hanging="340"/>
        <w:jc w:val="left"/>
        <w:rPr>
          <w:rFonts w:asciiTheme="minorHAnsi" w:hAnsiTheme="minorHAnsi" w:cstheme="minorHAnsi"/>
          <w:sz w:val="24"/>
          <w:szCs w:val="24"/>
        </w:rPr>
      </w:pPr>
      <w:r>
        <w:rPr>
          <w:rFonts w:asciiTheme="minorHAnsi" w:hAnsiTheme="minorHAnsi" w:cstheme="minorHAnsi"/>
          <w:sz w:val="24"/>
          <w:szCs w:val="24"/>
        </w:rPr>
        <w:t xml:space="preserve"> το έργο ενέχει στοιχεία κρατικής ενίσχυσης</w:t>
      </w:r>
    </w:p>
    <w:p w14:paraId="1E08EE64" w14:textId="77777777" w:rsidR="002A2422" w:rsidRDefault="003B3AD7">
      <w:pPr>
        <w:pStyle w:val="14"/>
        <w:numPr>
          <w:ilvl w:val="0"/>
          <w:numId w:val="25"/>
        </w:numPr>
        <w:shd w:val="clear" w:color="auto" w:fill="auto"/>
        <w:spacing w:before="60" w:after="60" w:line="360" w:lineRule="auto"/>
        <w:ind w:left="740" w:hanging="340"/>
        <w:jc w:val="left"/>
        <w:rPr>
          <w:rFonts w:asciiTheme="minorHAnsi" w:hAnsiTheme="minorHAnsi" w:cstheme="minorHAnsi"/>
          <w:sz w:val="24"/>
          <w:szCs w:val="24"/>
        </w:rPr>
      </w:pPr>
      <w:r>
        <w:rPr>
          <w:rFonts w:asciiTheme="minorHAnsi" w:hAnsiTheme="minorHAnsi" w:cstheme="minorHAnsi"/>
          <w:sz w:val="24"/>
          <w:szCs w:val="24"/>
        </w:rPr>
        <w:t xml:space="preserve"> η προαγωγή της ισότητας μεταξύ ανδρών και γυναικών και της μη διάκρισης</w:t>
      </w:r>
    </w:p>
    <w:p w14:paraId="57AE335D" w14:textId="77777777" w:rsidR="002A2422" w:rsidRDefault="003B3AD7">
      <w:pPr>
        <w:pStyle w:val="14"/>
        <w:numPr>
          <w:ilvl w:val="0"/>
          <w:numId w:val="25"/>
        </w:numPr>
        <w:shd w:val="clear" w:color="auto" w:fill="auto"/>
        <w:spacing w:before="60" w:after="60" w:line="360" w:lineRule="auto"/>
        <w:ind w:left="740" w:hanging="340"/>
        <w:jc w:val="left"/>
        <w:rPr>
          <w:rFonts w:asciiTheme="minorHAnsi" w:hAnsiTheme="minorHAnsi" w:cstheme="minorHAnsi"/>
          <w:sz w:val="24"/>
          <w:szCs w:val="24"/>
        </w:rPr>
      </w:pPr>
      <w:r>
        <w:rPr>
          <w:rFonts w:asciiTheme="minorHAnsi" w:hAnsiTheme="minorHAnsi" w:cstheme="minorHAnsi"/>
          <w:sz w:val="24"/>
          <w:szCs w:val="24"/>
        </w:rPr>
        <w:t xml:space="preserve"> η εξασφάλιση της προσβασιμότητας των ΑΜΕΑ</w:t>
      </w:r>
    </w:p>
    <w:p w14:paraId="50F56A19" w14:textId="77777777" w:rsidR="002A2422" w:rsidRDefault="003B3AD7">
      <w:pPr>
        <w:keepNext/>
        <w:keepLines/>
        <w:spacing w:before="60" w:after="60"/>
        <w:ind w:left="20"/>
        <w:rPr>
          <w:rFonts w:asciiTheme="minorHAnsi" w:hAnsiTheme="minorHAnsi" w:cstheme="minorHAnsi"/>
          <w:sz w:val="24"/>
          <w:szCs w:val="24"/>
        </w:rPr>
      </w:pPr>
      <w:bookmarkStart w:id="95" w:name="bookmark24"/>
      <w:r>
        <w:rPr>
          <w:rStyle w:val="Heading30"/>
          <w:rFonts w:asciiTheme="minorHAnsi" w:hAnsiTheme="minorHAnsi" w:cstheme="minorHAnsi"/>
          <w:b w:val="0"/>
          <w:bCs w:val="0"/>
          <w:sz w:val="24"/>
          <w:szCs w:val="24"/>
        </w:rPr>
        <w:t>2η Ομάδα Κριτηρίων</w:t>
      </w:r>
      <w:r>
        <w:rPr>
          <w:rFonts w:asciiTheme="minorHAnsi" w:hAnsiTheme="minorHAnsi" w:cstheme="minorHAnsi"/>
          <w:sz w:val="24"/>
          <w:szCs w:val="24"/>
        </w:rPr>
        <w:t xml:space="preserve"> Σκοπιμότητα έργου (βαρύτητα: 30%)</w:t>
      </w:r>
      <w:bookmarkEnd w:id="95"/>
    </w:p>
    <w:p w14:paraId="71F42FD3" w14:textId="77777777" w:rsidR="002A2422" w:rsidRDefault="003B3AD7">
      <w:pPr>
        <w:pStyle w:val="14"/>
        <w:shd w:val="clear" w:color="auto" w:fill="auto"/>
        <w:spacing w:before="60" w:after="60" w:line="360" w:lineRule="auto"/>
        <w:ind w:left="20" w:firstLine="0"/>
        <w:rPr>
          <w:rFonts w:asciiTheme="minorHAnsi" w:hAnsiTheme="minorHAnsi" w:cstheme="minorHAnsi"/>
          <w:sz w:val="24"/>
          <w:szCs w:val="24"/>
        </w:rPr>
      </w:pPr>
      <w:r>
        <w:rPr>
          <w:rFonts w:asciiTheme="minorHAnsi" w:hAnsiTheme="minorHAnsi" w:cstheme="minorHAnsi"/>
          <w:sz w:val="24"/>
          <w:szCs w:val="24"/>
        </w:rPr>
        <w:t>Προκειμένου να αξιολογηθεί η σκοπιμότητα ενός έργου αυτό εξετάζεται ως προς τα παρακάτω κριτήρια:</w:t>
      </w:r>
    </w:p>
    <w:p w14:paraId="3FDB9D53" w14:textId="77777777" w:rsidR="002A2422" w:rsidRDefault="003B3AD7">
      <w:pPr>
        <w:pStyle w:val="14"/>
        <w:numPr>
          <w:ilvl w:val="0"/>
          <w:numId w:val="25"/>
        </w:numPr>
        <w:shd w:val="clear" w:color="auto" w:fill="auto"/>
        <w:spacing w:before="60" w:after="60" w:line="360" w:lineRule="auto"/>
        <w:ind w:left="740" w:hanging="340"/>
        <w:jc w:val="left"/>
        <w:rPr>
          <w:rFonts w:asciiTheme="minorHAnsi" w:hAnsiTheme="minorHAnsi" w:cstheme="minorHAnsi"/>
          <w:sz w:val="24"/>
          <w:szCs w:val="24"/>
        </w:rPr>
      </w:pPr>
      <w:r>
        <w:rPr>
          <w:rFonts w:asciiTheme="minorHAnsi" w:hAnsiTheme="minorHAnsi" w:cstheme="minorHAnsi"/>
          <w:sz w:val="24"/>
          <w:szCs w:val="24"/>
        </w:rPr>
        <w:t xml:space="preserve"> Αναγκαιότητα υλοποίησης του έργου, συσχέτιση με τους ειδικούς αναπτυξιακούς στόχους του ΤΠΑ</w:t>
      </w:r>
    </w:p>
    <w:p w14:paraId="672F53BD" w14:textId="77777777" w:rsidR="002A2422" w:rsidRDefault="003B3AD7">
      <w:pPr>
        <w:pStyle w:val="14"/>
        <w:numPr>
          <w:ilvl w:val="0"/>
          <w:numId w:val="25"/>
        </w:numPr>
        <w:shd w:val="clear" w:color="auto" w:fill="auto"/>
        <w:spacing w:before="60" w:after="60" w:line="360" w:lineRule="auto"/>
        <w:ind w:left="740" w:hanging="340"/>
        <w:jc w:val="left"/>
        <w:rPr>
          <w:rFonts w:asciiTheme="minorHAnsi" w:hAnsiTheme="minorHAnsi" w:cstheme="minorHAnsi"/>
          <w:sz w:val="24"/>
          <w:szCs w:val="24"/>
        </w:rPr>
      </w:pPr>
      <w:r>
        <w:rPr>
          <w:rFonts w:asciiTheme="minorHAnsi" w:hAnsiTheme="minorHAnsi" w:cstheme="minorHAnsi"/>
          <w:sz w:val="24"/>
          <w:szCs w:val="24"/>
        </w:rPr>
        <w:t xml:space="preserve"> Βιωσιμότητα, λειτουργικότητα, αξιοποίηση</w:t>
      </w:r>
    </w:p>
    <w:p w14:paraId="1DAC6AA8" w14:textId="77777777" w:rsidR="002A2422" w:rsidRDefault="003B3AD7">
      <w:pPr>
        <w:pStyle w:val="14"/>
        <w:numPr>
          <w:ilvl w:val="0"/>
          <w:numId w:val="25"/>
        </w:numPr>
        <w:shd w:val="clear" w:color="auto" w:fill="auto"/>
        <w:spacing w:before="60" w:after="60" w:line="360" w:lineRule="auto"/>
        <w:ind w:left="740" w:right="20" w:hanging="340"/>
        <w:jc w:val="left"/>
        <w:rPr>
          <w:rFonts w:asciiTheme="minorHAnsi" w:hAnsiTheme="minorHAnsi" w:cstheme="minorHAnsi"/>
          <w:sz w:val="24"/>
          <w:szCs w:val="24"/>
        </w:rPr>
      </w:pPr>
      <w:r>
        <w:rPr>
          <w:rFonts w:asciiTheme="minorHAnsi" w:hAnsiTheme="minorHAnsi" w:cstheme="minorHAnsi"/>
          <w:sz w:val="24"/>
          <w:szCs w:val="24"/>
        </w:rPr>
        <w:t xml:space="preserve"> Αποδοτικότητα/αποτελεσματικότητα παρέμβασης (ορατά και μετρήσιμα αναμενόμενα αποτελέσματα και σύνδεση με τους στόχους και τους δείκτες του αντίστοιχου ΑΠ του ΤΠΑ)</w:t>
      </w:r>
    </w:p>
    <w:p w14:paraId="7A845F35" w14:textId="77777777" w:rsidR="002A2422" w:rsidRDefault="003B3AD7">
      <w:pPr>
        <w:pStyle w:val="14"/>
        <w:numPr>
          <w:ilvl w:val="0"/>
          <w:numId w:val="25"/>
        </w:numPr>
        <w:shd w:val="clear" w:color="auto" w:fill="auto"/>
        <w:spacing w:before="60" w:after="60" w:line="360" w:lineRule="auto"/>
        <w:ind w:left="740" w:hanging="340"/>
        <w:jc w:val="left"/>
        <w:rPr>
          <w:rFonts w:asciiTheme="minorHAnsi" w:hAnsiTheme="minorHAnsi" w:cstheme="minorHAnsi"/>
          <w:sz w:val="24"/>
          <w:szCs w:val="24"/>
        </w:rPr>
      </w:pPr>
      <w:r>
        <w:rPr>
          <w:rFonts w:asciiTheme="minorHAnsi" w:hAnsiTheme="minorHAnsi" w:cstheme="minorHAnsi"/>
          <w:sz w:val="24"/>
          <w:szCs w:val="24"/>
        </w:rPr>
        <w:t xml:space="preserve"> Καταλληλότητα των προτεινομένων παρεμβάσεων</w:t>
      </w:r>
    </w:p>
    <w:p w14:paraId="43456C97" w14:textId="77777777" w:rsidR="002A2422" w:rsidRDefault="003B3AD7">
      <w:pPr>
        <w:pStyle w:val="14"/>
        <w:numPr>
          <w:ilvl w:val="0"/>
          <w:numId w:val="25"/>
        </w:numPr>
        <w:shd w:val="clear" w:color="auto" w:fill="auto"/>
        <w:spacing w:before="60" w:after="60" w:line="360" w:lineRule="auto"/>
        <w:ind w:left="740" w:hanging="340"/>
        <w:jc w:val="left"/>
        <w:rPr>
          <w:rFonts w:asciiTheme="minorHAnsi" w:hAnsiTheme="minorHAnsi" w:cstheme="minorHAnsi"/>
          <w:sz w:val="24"/>
          <w:szCs w:val="24"/>
        </w:rPr>
      </w:pPr>
      <w:r>
        <w:rPr>
          <w:rFonts w:asciiTheme="minorHAnsi" w:hAnsiTheme="minorHAnsi" w:cstheme="minorHAnsi"/>
          <w:sz w:val="24"/>
          <w:szCs w:val="24"/>
        </w:rPr>
        <w:lastRenderedPageBreak/>
        <w:t xml:space="preserve"> Καινοτομία</w:t>
      </w:r>
    </w:p>
    <w:p w14:paraId="5963ABE7" w14:textId="77777777" w:rsidR="002A2422" w:rsidRDefault="003B3AD7">
      <w:pPr>
        <w:pStyle w:val="14"/>
        <w:numPr>
          <w:ilvl w:val="0"/>
          <w:numId w:val="25"/>
        </w:numPr>
        <w:shd w:val="clear" w:color="auto" w:fill="auto"/>
        <w:spacing w:before="60" w:after="60" w:line="360" w:lineRule="auto"/>
        <w:ind w:left="20" w:right="20" w:firstLine="380"/>
        <w:jc w:val="left"/>
        <w:rPr>
          <w:rFonts w:asciiTheme="minorHAnsi" w:hAnsiTheme="minorHAnsi" w:cstheme="minorHAnsi"/>
          <w:sz w:val="24"/>
          <w:szCs w:val="24"/>
        </w:rPr>
      </w:pPr>
      <w:r>
        <w:rPr>
          <w:rFonts w:asciiTheme="minorHAnsi" w:hAnsiTheme="minorHAnsi" w:cstheme="minorHAnsi"/>
          <w:sz w:val="24"/>
          <w:szCs w:val="24"/>
        </w:rPr>
        <w:t xml:space="preserve"> Συνέργεια και συμπληρωματικότητα του προτεινόμενου έργου με άλλα έργα </w:t>
      </w:r>
    </w:p>
    <w:p w14:paraId="5FC6AEF5" w14:textId="77777777" w:rsidR="002A2422" w:rsidRDefault="003B3AD7">
      <w:pPr>
        <w:pStyle w:val="14"/>
        <w:shd w:val="clear" w:color="auto" w:fill="auto"/>
        <w:spacing w:before="60" w:after="60" w:line="360" w:lineRule="auto"/>
        <w:ind w:left="20" w:right="20" w:firstLine="0"/>
        <w:jc w:val="left"/>
        <w:rPr>
          <w:rFonts w:asciiTheme="minorHAnsi" w:hAnsiTheme="minorHAnsi" w:cstheme="minorHAnsi"/>
          <w:sz w:val="24"/>
          <w:szCs w:val="24"/>
        </w:rPr>
      </w:pPr>
      <w:r>
        <w:rPr>
          <w:rStyle w:val="BodytextBold"/>
          <w:rFonts w:asciiTheme="minorHAnsi" w:hAnsiTheme="minorHAnsi" w:cstheme="minorHAnsi"/>
          <w:sz w:val="24"/>
          <w:szCs w:val="24"/>
        </w:rPr>
        <w:t>3η Ομάδα Κριτηρίων Ωριμότητα έργου (βαρύτητα: 35%)</w:t>
      </w:r>
    </w:p>
    <w:p w14:paraId="6432D860" w14:textId="77777777" w:rsidR="002A2422" w:rsidRDefault="003B3AD7">
      <w:pPr>
        <w:pStyle w:val="14"/>
        <w:shd w:val="clear" w:color="auto" w:fill="auto"/>
        <w:spacing w:before="60" w:after="60" w:line="360" w:lineRule="auto"/>
        <w:ind w:left="20" w:firstLine="0"/>
        <w:rPr>
          <w:rFonts w:asciiTheme="minorHAnsi" w:hAnsiTheme="minorHAnsi" w:cstheme="minorHAnsi"/>
          <w:sz w:val="24"/>
          <w:szCs w:val="24"/>
        </w:rPr>
      </w:pPr>
      <w:r>
        <w:rPr>
          <w:rFonts w:asciiTheme="minorHAnsi" w:hAnsiTheme="minorHAnsi" w:cstheme="minorHAnsi"/>
          <w:sz w:val="24"/>
          <w:szCs w:val="24"/>
        </w:rPr>
        <w:t>Προκειμένου να αξιολογηθεί η ωριμότητα ενός έργου αυτό εξετάζεται ως προς τα παρακάτω κριτήρια:</w:t>
      </w:r>
    </w:p>
    <w:p w14:paraId="0DA3BFE2" w14:textId="77777777" w:rsidR="002A2422" w:rsidRDefault="003B3AD7">
      <w:pPr>
        <w:pStyle w:val="14"/>
        <w:numPr>
          <w:ilvl w:val="0"/>
          <w:numId w:val="25"/>
        </w:numPr>
        <w:shd w:val="clear" w:color="auto" w:fill="auto"/>
        <w:spacing w:before="60" w:after="60" w:line="360" w:lineRule="auto"/>
        <w:ind w:left="740" w:hanging="340"/>
        <w:jc w:val="left"/>
        <w:rPr>
          <w:rFonts w:asciiTheme="minorHAnsi" w:hAnsiTheme="minorHAnsi" w:cstheme="minorHAnsi"/>
          <w:sz w:val="24"/>
          <w:szCs w:val="24"/>
        </w:rPr>
      </w:pPr>
      <w:r>
        <w:rPr>
          <w:rFonts w:asciiTheme="minorHAnsi" w:hAnsiTheme="minorHAnsi" w:cstheme="minorHAnsi"/>
          <w:sz w:val="24"/>
          <w:szCs w:val="24"/>
        </w:rPr>
        <w:t xml:space="preserve"> Στάδιο εξέλιξης των απαιτούμενων ενεργειών ωρίμανσης του έργου</w:t>
      </w:r>
    </w:p>
    <w:p w14:paraId="5E04EEE2" w14:textId="77777777" w:rsidR="002A2422" w:rsidRDefault="003B3AD7">
      <w:pPr>
        <w:pStyle w:val="14"/>
        <w:numPr>
          <w:ilvl w:val="0"/>
          <w:numId w:val="25"/>
        </w:numPr>
        <w:shd w:val="clear" w:color="auto" w:fill="auto"/>
        <w:spacing w:before="60" w:after="60" w:line="360" w:lineRule="auto"/>
        <w:ind w:left="740" w:right="20" w:hanging="340"/>
        <w:jc w:val="left"/>
        <w:rPr>
          <w:rFonts w:asciiTheme="minorHAnsi" w:hAnsiTheme="minorHAnsi" w:cstheme="minorHAnsi"/>
          <w:sz w:val="24"/>
          <w:szCs w:val="24"/>
        </w:rPr>
      </w:pPr>
      <w:r>
        <w:rPr>
          <w:rFonts w:asciiTheme="minorHAnsi" w:hAnsiTheme="minorHAnsi" w:cstheme="minorHAnsi"/>
          <w:sz w:val="24"/>
          <w:szCs w:val="24"/>
        </w:rPr>
        <w:t xml:space="preserve"> Ύπαρξη εγκεκριμένων μελετών, τευχών δημοπράτησης όπως στοιχείων ή άλλων διοικητικών ή κανονιστικών πράξεων, αποφάσεων εφόσον απαιτούνται</w:t>
      </w:r>
    </w:p>
    <w:p w14:paraId="7E4D2D43" w14:textId="77777777" w:rsidR="002A2422" w:rsidRDefault="003B3AD7">
      <w:pPr>
        <w:pStyle w:val="14"/>
        <w:numPr>
          <w:ilvl w:val="0"/>
          <w:numId w:val="25"/>
        </w:numPr>
        <w:shd w:val="clear" w:color="auto" w:fill="auto"/>
        <w:spacing w:before="60" w:after="60" w:line="360" w:lineRule="auto"/>
        <w:ind w:left="740" w:hanging="340"/>
        <w:jc w:val="left"/>
        <w:rPr>
          <w:rFonts w:asciiTheme="minorHAnsi" w:hAnsiTheme="minorHAnsi" w:cstheme="minorHAnsi"/>
          <w:sz w:val="24"/>
          <w:szCs w:val="24"/>
        </w:rPr>
      </w:pPr>
      <w:r>
        <w:rPr>
          <w:rFonts w:asciiTheme="minorHAnsi" w:hAnsiTheme="minorHAnsi" w:cstheme="minorHAnsi"/>
          <w:sz w:val="24"/>
          <w:szCs w:val="24"/>
        </w:rPr>
        <w:t xml:space="preserve"> Βαθμός προόδου διοικητικών ή άλλων ενεργειών</w:t>
      </w:r>
    </w:p>
    <w:p w14:paraId="71CE6962" w14:textId="77777777" w:rsidR="002A2422" w:rsidRDefault="003B3AD7">
      <w:pPr>
        <w:keepNext/>
        <w:keepLines/>
        <w:spacing w:before="60" w:after="60"/>
        <w:ind w:left="20" w:right="20"/>
        <w:rPr>
          <w:rFonts w:asciiTheme="minorHAnsi" w:hAnsiTheme="minorHAnsi" w:cstheme="minorHAnsi"/>
          <w:b/>
          <w:bCs/>
          <w:sz w:val="24"/>
          <w:szCs w:val="24"/>
        </w:rPr>
      </w:pPr>
      <w:bookmarkStart w:id="96" w:name="bookmark25"/>
      <w:r>
        <w:rPr>
          <w:rStyle w:val="Heading30"/>
          <w:rFonts w:asciiTheme="minorHAnsi" w:hAnsiTheme="minorHAnsi" w:cstheme="minorHAnsi"/>
          <w:sz w:val="24"/>
          <w:szCs w:val="24"/>
        </w:rPr>
        <w:t>4η Ομάδα Κριτηρίων</w:t>
      </w:r>
      <w:r>
        <w:rPr>
          <w:rFonts w:asciiTheme="minorHAnsi" w:hAnsiTheme="minorHAnsi" w:cstheme="minorHAnsi"/>
          <w:b/>
          <w:bCs/>
          <w:sz w:val="24"/>
          <w:szCs w:val="24"/>
        </w:rPr>
        <w:t xml:space="preserve"> Επιχειρησιακή και Χρηματοοικονομική ικανότητα δυνητικού δικαιούχου (βαρύτητα: 20%)</w:t>
      </w:r>
      <w:bookmarkEnd w:id="96"/>
    </w:p>
    <w:p w14:paraId="16ADD329" w14:textId="77777777" w:rsidR="002A2422" w:rsidRDefault="003B3AD7">
      <w:pPr>
        <w:pStyle w:val="14"/>
        <w:shd w:val="clear" w:color="auto" w:fill="auto"/>
        <w:spacing w:before="60" w:after="60" w:line="360" w:lineRule="auto"/>
        <w:ind w:left="20" w:firstLine="0"/>
        <w:rPr>
          <w:rFonts w:asciiTheme="minorHAnsi" w:hAnsiTheme="minorHAnsi" w:cstheme="minorHAnsi"/>
          <w:sz w:val="24"/>
          <w:szCs w:val="24"/>
        </w:rPr>
      </w:pPr>
      <w:r>
        <w:rPr>
          <w:rFonts w:asciiTheme="minorHAnsi" w:hAnsiTheme="minorHAnsi" w:cstheme="minorHAnsi"/>
          <w:sz w:val="24"/>
          <w:szCs w:val="24"/>
        </w:rPr>
        <w:t>Κατά την εξέταση της εν λόγω ομάδας κριτηρίων αξιολογείται:</w:t>
      </w:r>
    </w:p>
    <w:p w14:paraId="258A776E" w14:textId="77777777" w:rsidR="002A2422" w:rsidRDefault="003B3AD7">
      <w:pPr>
        <w:pStyle w:val="14"/>
        <w:numPr>
          <w:ilvl w:val="0"/>
          <w:numId w:val="25"/>
        </w:numPr>
        <w:shd w:val="clear" w:color="auto" w:fill="auto"/>
        <w:spacing w:before="60" w:after="60" w:line="360" w:lineRule="auto"/>
        <w:ind w:left="740" w:hanging="340"/>
        <w:jc w:val="left"/>
        <w:rPr>
          <w:rFonts w:asciiTheme="minorHAnsi" w:hAnsiTheme="minorHAnsi" w:cstheme="minorHAnsi"/>
          <w:sz w:val="24"/>
          <w:szCs w:val="24"/>
        </w:rPr>
      </w:pPr>
      <w:r>
        <w:rPr>
          <w:rFonts w:asciiTheme="minorHAnsi" w:hAnsiTheme="minorHAnsi" w:cstheme="minorHAnsi"/>
          <w:sz w:val="24"/>
          <w:szCs w:val="24"/>
        </w:rPr>
        <w:t xml:space="preserve"> η ύπαρξη σχετικών προβλέψεων, αρμοδιοτήτων του φορέα της πρότασης</w:t>
      </w:r>
    </w:p>
    <w:p w14:paraId="4C147EE4" w14:textId="77777777" w:rsidR="002A2422" w:rsidRDefault="003B3AD7">
      <w:pPr>
        <w:pStyle w:val="14"/>
        <w:numPr>
          <w:ilvl w:val="0"/>
          <w:numId w:val="25"/>
        </w:numPr>
        <w:shd w:val="clear" w:color="auto" w:fill="auto"/>
        <w:spacing w:before="60" w:after="60" w:line="360" w:lineRule="auto"/>
        <w:ind w:left="740" w:hanging="340"/>
        <w:jc w:val="left"/>
        <w:rPr>
          <w:rFonts w:asciiTheme="minorHAnsi" w:hAnsiTheme="minorHAnsi" w:cstheme="minorHAnsi"/>
          <w:sz w:val="24"/>
          <w:szCs w:val="24"/>
        </w:rPr>
      </w:pPr>
      <w:r>
        <w:rPr>
          <w:rFonts w:asciiTheme="minorHAnsi" w:hAnsiTheme="minorHAnsi" w:cstheme="minorHAnsi"/>
          <w:sz w:val="24"/>
          <w:szCs w:val="24"/>
        </w:rPr>
        <w:t xml:space="preserve"> η διοικητική ικανότητα του φορέα της πρότασης</w:t>
      </w:r>
    </w:p>
    <w:p w14:paraId="4954D90E" w14:textId="77777777" w:rsidR="002A2422" w:rsidRDefault="003B3AD7">
      <w:pPr>
        <w:pStyle w:val="14"/>
        <w:numPr>
          <w:ilvl w:val="0"/>
          <w:numId w:val="25"/>
        </w:numPr>
        <w:shd w:val="clear" w:color="auto" w:fill="auto"/>
        <w:spacing w:before="60" w:after="60" w:line="360" w:lineRule="auto"/>
        <w:ind w:left="740" w:hanging="340"/>
        <w:jc w:val="left"/>
        <w:rPr>
          <w:rFonts w:asciiTheme="minorHAnsi" w:hAnsiTheme="minorHAnsi" w:cstheme="minorHAnsi"/>
          <w:sz w:val="24"/>
          <w:szCs w:val="24"/>
        </w:rPr>
      </w:pPr>
      <w:r>
        <w:rPr>
          <w:rFonts w:asciiTheme="minorHAnsi" w:hAnsiTheme="minorHAnsi" w:cstheme="minorHAnsi"/>
          <w:sz w:val="24"/>
          <w:szCs w:val="24"/>
        </w:rPr>
        <w:t xml:space="preserve"> η προηγούμενη εμπειρία του φορέα στην υλοποίηση συναφών έργων</w:t>
      </w:r>
    </w:p>
    <w:p w14:paraId="5717BAF6" w14:textId="77777777" w:rsidR="002A2422" w:rsidRDefault="003B3AD7">
      <w:pPr>
        <w:pStyle w:val="14"/>
        <w:numPr>
          <w:ilvl w:val="0"/>
          <w:numId w:val="25"/>
        </w:numPr>
        <w:shd w:val="clear" w:color="auto" w:fill="auto"/>
        <w:spacing w:before="60" w:after="60" w:line="360" w:lineRule="auto"/>
        <w:ind w:left="740" w:hanging="340"/>
        <w:jc w:val="left"/>
        <w:rPr>
          <w:rFonts w:asciiTheme="minorHAnsi" w:hAnsiTheme="minorHAnsi" w:cstheme="minorHAnsi"/>
          <w:sz w:val="24"/>
          <w:szCs w:val="24"/>
        </w:rPr>
      </w:pPr>
      <w:r>
        <w:rPr>
          <w:rFonts w:asciiTheme="minorHAnsi" w:hAnsiTheme="minorHAnsi" w:cstheme="minorHAnsi"/>
          <w:sz w:val="24"/>
          <w:szCs w:val="24"/>
        </w:rPr>
        <w:t xml:space="preserve"> η χρηματοοικονομική ικανότητα του δυνητικού δικαιούχου</w:t>
      </w:r>
    </w:p>
    <w:p w14:paraId="446C5725"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Τα προαναφερθέντα κριτήρια αποτελούν κατευθύνσεις τις οποίες πρέπει να λάβει υπόψη η ΥΔ κατά τη σύνταξη των κριτηρίων επιλογής έργων στο πλαίσιο κάθε πρόσκλησης. Οι ΥΔ δύνανται να εξειδικεύσουν/προσθέσουν επιπλέον κριτήρια. Όλα τα προαναφερθέντα κριτήρια πρέπει να αξιολογούνται είτε δυαδικά (ΝΑΙ/ ΟΧΙ) είτε με κλίμακα (βαθμολόγηση).</w:t>
      </w:r>
    </w:p>
    <w:p w14:paraId="0B57EFE0"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pPr>
      <w:r>
        <w:rPr>
          <w:rFonts w:asciiTheme="minorHAnsi" w:hAnsiTheme="minorHAnsi" w:cstheme="minorHAnsi"/>
          <w:sz w:val="24"/>
          <w:szCs w:val="24"/>
        </w:rPr>
        <w:t>Είναι προφανές πως υπάρχει πλήθος τρόπων βαθμολόγησης - τόσο στην περίπτωση της συγκριτικής όσο και της άμεσης αξιολόγησης - που θα μπορούσαν να εφαρμοστούν προκειμένου να αξιολογηθούν οι προτάσεις έργων σύμφωνα με τα εγκεκριμένα κριτήρια:</w:t>
      </w:r>
    </w:p>
    <w:p w14:paraId="479A1826" w14:textId="77777777" w:rsidR="002A2422" w:rsidRDefault="003B3AD7">
      <w:pPr>
        <w:pStyle w:val="14"/>
        <w:numPr>
          <w:ilvl w:val="0"/>
          <w:numId w:val="32"/>
        </w:numPr>
        <w:shd w:val="clear" w:color="auto" w:fill="auto"/>
        <w:spacing w:before="60" w:after="60" w:line="360" w:lineRule="auto"/>
        <w:ind w:left="720" w:hanging="360"/>
        <w:rPr>
          <w:rFonts w:asciiTheme="minorHAnsi" w:hAnsiTheme="minorHAnsi" w:cstheme="minorHAnsi"/>
          <w:sz w:val="24"/>
          <w:szCs w:val="24"/>
        </w:rPr>
      </w:pPr>
      <w:r>
        <w:rPr>
          <w:rFonts w:asciiTheme="minorHAnsi" w:hAnsiTheme="minorHAnsi" w:cstheme="minorHAnsi"/>
          <w:sz w:val="24"/>
          <w:szCs w:val="24"/>
        </w:rPr>
        <w:t xml:space="preserve"> Με δυαδική βαθμολόγηση (ΝΑΙ/ΟΧΙ) και αποκλεισμό κατά κριτήριο (όλα τα κριτήρια «ΝΑΙ»).</w:t>
      </w:r>
    </w:p>
    <w:p w14:paraId="7D9D5759" w14:textId="77777777" w:rsidR="002A2422" w:rsidRDefault="003B3AD7">
      <w:pPr>
        <w:pStyle w:val="14"/>
        <w:numPr>
          <w:ilvl w:val="0"/>
          <w:numId w:val="32"/>
        </w:numPr>
        <w:shd w:val="clear" w:color="auto" w:fill="auto"/>
        <w:spacing w:before="60" w:after="60" w:line="360" w:lineRule="auto"/>
        <w:ind w:left="720" w:right="20" w:hanging="360"/>
        <w:rPr>
          <w:rFonts w:asciiTheme="minorHAnsi" w:hAnsiTheme="minorHAnsi" w:cstheme="minorHAnsi"/>
          <w:sz w:val="24"/>
          <w:szCs w:val="24"/>
        </w:rPr>
      </w:pPr>
      <w:r>
        <w:rPr>
          <w:rFonts w:asciiTheme="minorHAnsi" w:hAnsiTheme="minorHAnsi" w:cstheme="minorHAnsi"/>
          <w:sz w:val="24"/>
          <w:szCs w:val="24"/>
        </w:rPr>
        <w:t xml:space="preserve"> Με δυαδική βαθμολόγηση και αντιστοίχιση των τιμών ΝΑΙ/ΟΧΙ σε ποσοτικές τιμές (Δυαδικό κριτήριο με όριο θετικής αξιολόγησης).</w:t>
      </w:r>
    </w:p>
    <w:p w14:paraId="182CE09A" w14:textId="77777777" w:rsidR="002A2422" w:rsidRDefault="003B3AD7">
      <w:pPr>
        <w:pStyle w:val="14"/>
        <w:numPr>
          <w:ilvl w:val="0"/>
          <w:numId w:val="32"/>
        </w:numPr>
        <w:shd w:val="clear" w:color="auto" w:fill="auto"/>
        <w:spacing w:before="60" w:after="60" w:line="360" w:lineRule="auto"/>
        <w:ind w:left="720" w:right="20" w:hanging="360"/>
        <w:rPr>
          <w:rFonts w:asciiTheme="minorHAnsi" w:hAnsiTheme="minorHAnsi" w:cstheme="minorHAnsi"/>
          <w:sz w:val="24"/>
          <w:szCs w:val="24"/>
        </w:rPr>
      </w:pPr>
      <w:r>
        <w:rPr>
          <w:rFonts w:asciiTheme="minorHAnsi" w:hAnsiTheme="minorHAnsi" w:cstheme="minorHAnsi"/>
          <w:sz w:val="24"/>
          <w:szCs w:val="24"/>
        </w:rPr>
        <w:t xml:space="preserve"> Με βαθμολόγηση ορισμένων κριτηρίων ή και θέσπιση ορίων θετικής αξιολόγησης κατά κριτήριο ή ομάδα κριτηρίων ή στο σύνολο, με συνολικό βαθμό λαμβάνοντας υπόψη συντελεστές στάθμισης κατά κριτήριο ή ομάδα κριτηρίων.</w:t>
      </w:r>
    </w:p>
    <w:p w14:paraId="0CB143BF" w14:textId="77777777" w:rsidR="002A2422" w:rsidRDefault="003B3AD7">
      <w:pPr>
        <w:pStyle w:val="14"/>
        <w:numPr>
          <w:ilvl w:val="0"/>
          <w:numId w:val="32"/>
        </w:numPr>
        <w:shd w:val="clear" w:color="auto" w:fill="auto"/>
        <w:spacing w:before="60" w:after="60" w:line="360" w:lineRule="auto"/>
        <w:ind w:left="720" w:hanging="360"/>
        <w:rPr>
          <w:rFonts w:asciiTheme="minorHAnsi" w:hAnsiTheme="minorHAnsi" w:cstheme="minorHAnsi"/>
          <w:sz w:val="24"/>
          <w:szCs w:val="24"/>
        </w:rPr>
      </w:pPr>
      <w:r>
        <w:rPr>
          <w:rFonts w:asciiTheme="minorHAnsi" w:hAnsiTheme="minorHAnsi" w:cstheme="minorHAnsi"/>
          <w:sz w:val="24"/>
          <w:szCs w:val="24"/>
        </w:rPr>
        <w:lastRenderedPageBreak/>
        <w:t xml:space="preserve"> οποιοσδήποτε συνδυασμός των ανωτέρω.</w:t>
      </w:r>
    </w:p>
    <w:p w14:paraId="0780BB06" w14:textId="77777777" w:rsidR="002A2422" w:rsidRDefault="003B3AD7">
      <w:pPr>
        <w:pStyle w:val="14"/>
        <w:shd w:val="clear" w:color="auto" w:fill="auto"/>
        <w:spacing w:before="60" w:after="60" w:line="360" w:lineRule="auto"/>
        <w:ind w:left="20" w:right="20" w:firstLine="0"/>
        <w:rPr>
          <w:rFonts w:asciiTheme="minorHAnsi" w:hAnsiTheme="minorHAnsi" w:cstheme="minorHAnsi"/>
          <w:sz w:val="24"/>
          <w:szCs w:val="24"/>
        </w:rPr>
        <w:sectPr w:rsidR="002A2422">
          <w:type w:val="continuous"/>
          <w:pgSz w:w="11909" w:h="16838"/>
          <w:pgMar w:top="652" w:right="1129" w:bottom="1266" w:left="1131" w:header="0" w:footer="3" w:gutter="0"/>
          <w:cols w:space="720"/>
          <w:docGrid w:linePitch="360"/>
        </w:sectPr>
      </w:pPr>
      <w:r>
        <w:rPr>
          <w:rFonts w:asciiTheme="minorHAnsi" w:hAnsiTheme="minorHAnsi" w:cstheme="minorHAnsi"/>
          <w:sz w:val="24"/>
          <w:szCs w:val="24"/>
        </w:rPr>
        <w:t>Το αποτέλεσμα της αξιολόγησης καθώς και η τεκμηρίωση κάθε κριτηρίου καταγράφεται συμπληρώνοντας υποχρεωτικά το σχετικό Φύλλο Αξιολόγησης του Έργου.</w:t>
      </w:r>
    </w:p>
    <w:p w14:paraId="70939757" w14:textId="77777777" w:rsidR="002A2422" w:rsidRDefault="003B3AD7">
      <w:pPr>
        <w:pStyle w:val="1"/>
      </w:pPr>
      <w:bookmarkStart w:id="97" w:name="bookmark26"/>
      <w:bookmarkStart w:id="98" w:name="_Toc73665499"/>
      <w:bookmarkStart w:id="99" w:name="bookmark27"/>
      <w:r>
        <w:rPr>
          <w:rStyle w:val="Heading10"/>
          <w:rFonts w:asciiTheme="minorHAnsi" w:hAnsiTheme="minorHAnsi" w:cstheme="minorHAnsi"/>
          <w:sz w:val="28"/>
          <w:szCs w:val="28"/>
        </w:rPr>
        <w:lastRenderedPageBreak/>
        <w:t>ΕΙΔΙΚΑ ΚΑΙ ΑΛΛΑ ΘΕΜΑΤΑ</w:t>
      </w:r>
      <w:bookmarkEnd w:id="97"/>
      <w:bookmarkEnd w:id="98"/>
      <w:bookmarkEnd w:id="99"/>
    </w:p>
    <w:p w14:paraId="6921CD5A" w14:textId="77777777" w:rsidR="002A2422" w:rsidRDefault="003B3AD7">
      <w:pPr>
        <w:pStyle w:val="14"/>
        <w:spacing w:before="60" w:after="60" w:line="360" w:lineRule="auto"/>
        <w:ind w:left="23" w:hanging="20"/>
        <w:rPr>
          <w:rFonts w:asciiTheme="minorHAnsi" w:hAnsiTheme="minorHAnsi" w:cstheme="minorHAnsi"/>
          <w:sz w:val="24"/>
          <w:szCs w:val="24"/>
        </w:rPr>
      </w:pPr>
      <w:r>
        <w:rPr>
          <w:rFonts w:asciiTheme="minorHAnsi" w:hAnsiTheme="minorHAnsi" w:cstheme="minorHAnsi"/>
          <w:sz w:val="24"/>
          <w:szCs w:val="24"/>
        </w:rPr>
        <w:t>Απαιτείται η υποβολή έγγραφου ερωτήματος στο Υπουργείο Περιβάλλοντος, σχετικά με την υποχρέωση εκπόνησης Στρατηγικής Μελέτης Περιβαλλοντικών Επιπτώσεων.</w:t>
      </w:r>
    </w:p>
    <w:p w14:paraId="50CFF380" w14:textId="77777777" w:rsidR="002A2422" w:rsidRDefault="003B3AD7">
      <w:pPr>
        <w:pStyle w:val="14"/>
        <w:shd w:val="clear" w:color="auto" w:fill="auto"/>
        <w:spacing w:before="60" w:after="60" w:line="360" w:lineRule="auto"/>
        <w:ind w:left="23" w:firstLine="0"/>
        <w:rPr>
          <w:rFonts w:asciiTheme="minorHAnsi" w:hAnsiTheme="minorHAnsi" w:cstheme="minorHAnsi"/>
          <w:sz w:val="24"/>
          <w:szCs w:val="24"/>
        </w:rPr>
      </w:pPr>
      <w:r>
        <w:rPr>
          <w:rFonts w:asciiTheme="minorHAnsi" w:hAnsiTheme="minorHAnsi" w:cstheme="minorHAnsi"/>
          <w:sz w:val="24"/>
          <w:szCs w:val="24"/>
        </w:rPr>
        <w:t>Δεν προκύπτουν ειδικά και άλλα θέματα στο πλαίσιο του ΤΠΑ.</w:t>
      </w:r>
    </w:p>
    <w:p w14:paraId="54BD4E5D" w14:textId="77777777" w:rsidR="002A2422" w:rsidRDefault="002A2422">
      <w:pPr>
        <w:pStyle w:val="14"/>
        <w:shd w:val="clear" w:color="auto" w:fill="auto"/>
        <w:spacing w:before="60" w:after="60" w:line="360" w:lineRule="auto"/>
        <w:ind w:left="23" w:firstLine="0"/>
        <w:rPr>
          <w:rFonts w:asciiTheme="minorHAnsi" w:hAnsiTheme="minorHAnsi" w:cstheme="minorHAnsi"/>
          <w:sz w:val="24"/>
          <w:szCs w:val="24"/>
        </w:rPr>
      </w:pPr>
    </w:p>
    <w:p w14:paraId="7D742FF5" w14:textId="77777777" w:rsidR="002A2422" w:rsidRDefault="003B3AD7">
      <w:pPr>
        <w:pStyle w:val="1"/>
      </w:pPr>
      <w:bookmarkStart w:id="100" w:name="_Toc73665500"/>
      <w:r>
        <w:t>ΣΥΝΟΠΤΙΚΗ ΠΕΡΙΓΡΑΦΗ ΤΗΣ ΔΙΑΔΙΚΑΣΙΑΣ ΣΧΕΔΙΑΣΜΟΥ ΤΟΥ ΠΡΟΓΡΑΜΜΑΤΟΣ</w:t>
      </w:r>
      <w:bookmarkEnd w:id="100"/>
    </w:p>
    <w:p w14:paraId="6D60B29A" w14:textId="77777777" w:rsidR="002A2422" w:rsidRDefault="003B3AD7">
      <w:pPr>
        <w:pStyle w:val="14"/>
        <w:spacing w:before="60" w:after="60" w:line="360" w:lineRule="auto"/>
        <w:ind w:left="23" w:hanging="20"/>
        <w:rPr>
          <w:rFonts w:asciiTheme="minorHAnsi" w:hAnsiTheme="minorHAnsi" w:cstheme="minorHAnsi"/>
          <w:sz w:val="24"/>
          <w:szCs w:val="24"/>
        </w:rPr>
      </w:pPr>
      <w:r>
        <w:rPr>
          <w:rFonts w:asciiTheme="minorHAnsi" w:hAnsiTheme="minorHAnsi" w:cstheme="minorHAnsi"/>
          <w:sz w:val="24"/>
          <w:szCs w:val="24"/>
        </w:rPr>
        <w:t>Η διαδικασία για την εκπόνηση του ΤΠΑ ξεκίνησε τον Αύγουστο του 2020 σε συνεργασία με την ηγεσία του ΥΠΠΟΑ, οπότε και διενεργήθηκαν οι απαραίτητες συναντήσεις για τον ακριβή καθορισμό των προδιαγραφών του, με βάση το εγκεκριμένο ΕΠΑ. Στη συνέχεια, συλλέχθηκαν πληροφορίες ειδικά ως προς τα στατιστικά και απολογιστικά στοιχεία που προήλθαν από το πληροφοριακό σύστημα του e-pde, καθώς και το αρχείο της αρμόδιας υπηρεσίας. Επιπλέον, συλλέχθηκαν στοιχεία που διέθεσαν η ηγεσία του ΥΠΠΟΑ, οι Γενικές Γραμματείες του ΥΠΠΟΑ από προηγούμενες διαδικασίες προγραμματισμού ή έπειτα από συναντήσεις και επικοινωνίες που πραγματοποιήθηκαν στο ΥΠΠΟΑ ειδικά για την κατάρτιση του ΤΠΑ. Τέλος, λήφθηκαν υπόψη οι οδηγίες που λήφθηκαν από τη Δι.Δι.Ε.Π. το ΥΠΑΝΕπ.</w:t>
      </w:r>
    </w:p>
    <w:p w14:paraId="31B0ADAA" w14:textId="77777777" w:rsidR="002A2422" w:rsidRDefault="003B3AD7">
      <w:pPr>
        <w:pStyle w:val="14"/>
        <w:shd w:val="clear" w:color="auto" w:fill="auto"/>
        <w:spacing w:before="60" w:after="60" w:line="360" w:lineRule="auto"/>
        <w:ind w:left="23" w:firstLine="0"/>
        <w:rPr>
          <w:rFonts w:asciiTheme="minorHAnsi" w:hAnsiTheme="minorHAnsi" w:cstheme="minorHAnsi"/>
          <w:sz w:val="24"/>
          <w:szCs w:val="24"/>
        </w:rPr>
      </w:pPr>
      <w:r>
        <w:rPr>
          <w:rFonts w:asciiTheme="minorHAnsi" w:hAnsiTheme="minorHAnsi" w:cstheme="minorHAnsi"/>
          <w:sz w:val="24"/>
          <w:szCs w:val="24"/>
        </w:rPr>
        <w:t>Η εκπόνηση του ΤΠΑ ως κείμενο, ολοκληρώθηκε στο τέλος Απριλίου και στη συνέχεια ακολουθούν τα στάδια της διαβούλευσης και της τελικής επικαιροποίησης του ΤΠΑ προκειμένου να αποσταλεί στο ΥΠΑΝΕΠ προς έγκριση.</w:t>
      </w:r>
    </w:p>
    <w:p w14:paraId="62032600" w14:textId="77777777" w:rsidR="002A2422" w:rsidRDefault="002A2422">
      <w:pPr>
        <w:pStyle w:val="14"/>
        <w:shd w:val="clear" w:color="auto" w:fill="auto"/>
        <w:spacing w:before="60" w:after="60" w:line="360" w:lineRule="auto"/>
        <w:ind w:left="20" w:firstLine="0"/>
        <w:rPr>
          <w:rFonts w:asciiTheme="minorHAnsi" w:hAnsiTheme="minorHAnsi" w:cstheme="minorHAnsi"/>
          <w:sz w:val="24"/>
          <w:szCs w:val="24"/>
        </w:rPr>
      </w:pPr>
    </w:p>
    <w:p w14:paraId="2DD5C6A3" w14:textId="77777777" w:rsidR="002A2422" w:rsidRDefault="002A2422">
      <w:pPr>
        <w:pStyle w:val="14"/>
        <w:shd w:val="clear" w:color="auto" w:fill="auto"/>
        <w:spacing w:before="60" w:after="60" w:line="360" w:lineRule="auto"/>
        <w:ind w:left="20" w:firstLine="0"/>
        <w:rPr>
          <w:rFonts w:asciiTheme="minorHAnsi" w:hAnsiTheme="minorHAnsi" w:cstheme="minorHAnsi"/>
          <w:sz w:val="24"/>
          <w:szCs w:val="24"/>
        </w:rPr>
      </w:pPr>
    </w:p>
    <w:p w14:paraId="7D321F9F" w14:textId="77777777" w:rsidR="002A2422" w:rsidRDefault="002A2422">
      <w:pPr>
        <w:pStyle w:val="14"/>
        <w:shd w:val="clear" w:color="auto" w:fill="auto"/>
        <w:spacing w:before="60" w:after="60" w:line="360" w:lineRule="auto"/>
        <w:ind w:left="20" w:firstLine="0"/>
        <w:rPr>
          <w:rFonts w:asciiTheme="minorHAnsi" w:hAnsiTheme="minorHAnsi" w:cstheme="minorHAnsi"/>
          <w:sz w:val="24"/>
          <w:szCs w:val="24"/>
        </w:rPr>
      </w:pPr>
    </w:p>
    <w:p w14:paraId="06F410C0" w14:textId="77777777" w:rsidR="002A2422" w:rsidRDefault="002A2422">
      <w:pPr>
        <w:pStyle w:val="14"/>
        <w:shd w:val="clear" w:color="auto" w:fill="auto"/>
        <w:spacing w:before="60" w:after="60" w:line="360" w:lineRule="auto"/>
        <w:ind w:left="20" w:firstLine="0"/>
        <w:rPr>
          <w:rFonts w:asciiTheme="minorHAnsi" w:hAnsiTheme="minorHAnsi" w:cstheme="minorHAnsi"/>
          <w:sz w:val="24"/>
          <w:szCs w:val="24"/>
        </w:rPr>
      </w:pPr>
    </w:p>
    <w:p w14:paraId="5C333E23" w14:textId="77777777" w:rsidR="002A2422" w:rsidRDefault="002A2422">
      <w:pPr>
        <w:spacing w:before="60" w:after="60"/>
        <w:jc w:val="center"/>
        <w:rPr>
          <w:rFonts w:asciiTheme="minorHAnsi" w:hAnsiTheme="minorHAnsi" w:cstheme="minorHAnsi"/>
          <w:b/>
          <w:bCs/>
          <w:sz w:val="24"/>
          <w:szCs w:val="24"/>
        </w:rPr>
      </w:pPr>
    </w:p>
    <w:p w14:paraId="34E39AE2" w14:textId="77777777" w:rsidR="002A2422" w:rsidRDefault="002A2422">
      <w:pPr>
        <w:spacing w:before="60" w:after="60"/>
        <w:jc w:val="center"/>
        <w:rPr>
          <w:rFonts w:asciiTheme="minorHAnsi" w:hAnsiTheme="minorHAnsi" w:cstheme="minorHAnsi"/>
          <w:b/>
          <w:bCs/>
          <w:sz w:val="24"/>
          <w:szCs w:val="24"/>
        </w:rPr>
      </w:pPr>
    </w:p>
    <w:p w14:paraId="1AB9A599" w14:textId="77777777" w:rsidR="002A2422" w:rsidRDefault="002A2422">
      <w:pPr>
        <w:spacing w:before="60" w:after="60"/>
        <w:jc w:val="center"/>
        <w:rPr>
          <w:rFonts w:asciiTheme="minorHAnsi" w:hAnsiTheme="minorHAnsi" w:cstheme="minorHAnsi"/>
          <w:b/>
          <w:bCs/>
          <w:sz w:val="24"/>
          <w:szCs w:val="24"/>
        </w:rPr>
      </w:pPr>
    </w:p>
    <w:p w14:paraId="5F129BB9" w14:textId="77777777" w:rsidR="002A2422" w:rsidRDefault="002A2422">
      <w:pPr>
        <w:spacing w:before="60" w:after="60"/>
        <w:jc w:val="center"/>
        <w:rPr>
          <w:rFonts w:asciiTheme="minorHAnsi" w:hAnsiTheme="minorHAnsi" w:cstheme="minorHAnsi"/>
          <w:b/>
          <w:bCs/>
          <w:sz w:val="24"/>
          <w:szCs w:val="24"/>
        </w:rPr>
      </w:pPr>
    </w:p>
    <w:p w14:paraId="67ECEA70" w14:textId="77777777" w:rsidR="002A2422" w:rsidRDefault="002A2422">
      <w:pPr>
        <w:spacing w:before="60" w:after="60"/>
        <w:jc w:val="center"/>
        <w:rPr>
          <w:rFonts w:asciiTheme="minorHAnsi" w:hAnsiTheme="minorHAnsi" w:cstheme="minorHAnsi"/>
          <w:b/>
          <w:bCs/>
          <w:sz w:val="24"/>
          <w:szCs w:val="24"/>
        </w:rPr>
      </w:pPr>
    </w:p>
    <w:p w14:paraId="06EAA98D" w14:textId="77777777" w:rsidR="002A2422" w:rsidRDefault="002A2422">
      <w:pPr>
        <w:spacing w:before="60" w:after="60"/>
        <w:jc w:val="center"/>
        <w:rPr>
          <w:rFonts w:asciiTheme="minorHAnsi" w:hAnsiTheme="minorHAnsi" w:cstheme="minorHAnsi"/>
          <w:b/>
          <w:bCs/>
          <w:sz w:val="24"/>
          <w:szCs w:val="24"/>
        </w:rPr>
      </w:pPr>
    </w:p>
    <w:p w14:paraId="7377380C" w14:textId="77777777" w:rsidR="002A2422" w:rsidRDefault="002A2422">
      <w:pPr>
        <w:jc w:val="center"/>
        <w:rPr>
          <w:rFonts w:asciiTheme="minorHAnsi" w:hAnsiTheme="minorHAnsi" w:cstheme="minorHAnsi"/>
          <w:b/>
          <w:bCs/>
          <w:sz w:val="32"/>
          <w:szCs w:val="32"/>
        </w:rPr>
      </w:pPr>
    </w:p>
    <w:p w14:paraId="3FAE1C8B" w14:textId="77777777" w:rsidR="002A2422" w:rsidRDefault="002A2422">
      <w:pPr>
        <w:jc w:val="center"/>
        <w:rPr>
          <w:rFonts w:asciiTheme="minorHAnsi" w:hAnsiTheme="minorHAnsi" w:cstheme="minorHAnsi"/>
          <w:b/>
          <w:bCs/>
          <w:sz w:val="32"/>
          <w:szCs w:val="32"/>
        </w:rPr>
      </w:pPr>
    </w:p>
    <w:p w14:paraId="1589E7D3" w14:textId="77777777" w:rsidR="002A2422" w:rsidRDefault="002A2422">
      <w:pPr>
        <w:rPr>
          <w:rFonts w:asciiTheme="minorHAnsi" w:hAnsiTheme="minorHAnsi" w:cstheme="minorHAnsi"/>
          <w:b/>
          <w:bCs/>
          <w:sz w:val="32"/>
          <w:szCs w:val="32"/>
        </w:rPr>
      </w:pPr>
    </w:p>
    <w:p w14:paraId="668F4FA2" w14:textId="77777777" w:rsidR="002A2422" w:rsidRDefault="002A2422">
      <w:pPr>
        <w:jc w:val="center"/>
        <w:rPr>
          <w:rFonts w:asciiTheme="minorHAnsi" w:hAnsiTheme="minorHAnsi" w:cstheme="minorHAnsi"/>
          <w:b/>
          <w:bCs/>
          <w:sz w:val="32"/>
          <w:szCs w:val="32"/>
        </w:rPr>
      </w:pPr>
    </w:p>
    <w:p w14:paraId="22EEECB8" w14:textId="77777777" w:rsidR="002A2422" w:rsidRDefault="003B3AD7">
      <w:pPr>
        <w:jc w:val="center"/>
        <w:rPr>
          <w:rFonts w:asciiTheme="minorHAnsi" w:hAnsiTheme="minorHAnsi" w:cstheme="minorHAnsi"/>
          <w:b/>
          <w:bCs/>
          <w:sz w:val="32"/>
          <w:szCs w:val="32"/>
        </w:rPr>
      </w:pPr>
      <w:r>
        <w:rPr>
          <w:rFonts w:asciiTheme="minorHAnsi" w:hAnsiTheme="minorHAnsi" w:cstheme="minorHAnsi"/>
          <w:b/>
          <w:bCs/>
          <w:sz w:val="32"/>
          <w:szCs w:val="32"/>
        </w:rPr>
        <w:t>ΠΑΡΑΡΤΗΜΑ  – ΟΡΓΑΝΟΓΡΑΜΜΑ ΥΠΠΟΑ</w:t>
      </w:r>
    </w:p>
    <w:p w14:paraId="42FC13C7" w14:textId="77777777" w:rsidR="002A2422" w:rsidRDefault="002A2422">
      <w:pPr>
        <w:rPr>
          <w:rFonts w:asciiTheme="minorHAnsi" w:hAnsiTheme="minorHAnsi" w:cstheme="minorHAnsi"/>
          <w:sz w:val="24"/>
          <w:szCs w:val="24"/>
        </w:rPr>
      </w:pPr>
    </w:p>
    <w:p w14:paraId="5B8F9754" w14:textId="77777777" w:rsidR="002A2422" w:rsidRDefault="002A2422">
      <w:pPr>
        <w:rPr>
          <w:rFonts w:asciiTheme="minorHAnsi" w:hAnsiTheme="minorHAnsi" w:cstheme="minorHAnsi"/>
          <w:sz w:val="24"/>
          <w:szCs w:val="24"/>
        </w:rPr>
      </w:pPr>
    </w:p>
    <w:p w14:paraId="2EAD49C8" w14:textId="77777777" w:rsidR="002A2422" w:rsidRDefault="002A2422">
      <w:pPr>
        <w:rPr>
          <w:rFonts w:asciiTheme="minorHAnsi" w:hAnsiTheme="minorHAnsi" w:cstheme="minorHAnsi"/>
          <w:sz w:val="24"/>
          <w:szCs w:val="24"/>
        </w:rPr>
      </w:pPr>
    </w:p>
    <w:p w14:paraId="48F45672" w14:textId="77777777" w:rsidR="002A2422" w:rsidRDefault="002A2422">
      <w:pPr>
        <w:rPr>
          <w:rFonts w:asciiTheme="minorHAnsi" w:hAnsiTheme="minorHAnsi" w:cstheme="minorHAnsi"/>
          <w:sz w:val="24"/>
          <w:szCs w:val="24"/>
        </w:rPr>
      </w:pPr>
    </w:p>
    <w:p w14:paraId="60A5369E" w14:textId="77777777" w:rsidR="002A2422" w:rsidRDefault="002A2422">
      <w:pPr>
        <w:rPr>
          <w:rFonts w:asciiTheme="minorHAnsi" w:hAnsiTheme="minorHAnsi" w:cstheme="minorHAnsi"/>
          <w:sz w:val="24"/>
          <w:szCs w:val="24"/>
        </w:rPr>
      </w:pPr>
    </w:p>
    <w:p w14:paraId="3D2D381F" w14:textId="77777777" w:rsidR="002A2422" w:rsidRDefault="002A2422">
      <w:pPr>
        <w:rPr>
          <w:rFonts w:asciiTheme="minorHAnsi" w:hAnsiTheme="minorHAnsi" w:cstheme="minorHAnsi"/>
          <w:sz w:val="24"/>
          <w:szCs w:val="24"/>
        </w:rPr>
      </w:pPr>
    </w:p>
    <w:p w14:paraId="0ACEC63F" w14:textId="77777777" w:rsidR="002A2422" w:rsidRDefault="002A2422">
      <w:pPr>
        <w:rPr>
          <w:rFonts w:asciiTheme="minorHAnsi" w:hAnsiTheme="minorHAnsi" w:cstheme="minorHAnsi"/>
          <w:sz w:val="24"/>
          <w:szCs w:val="24"/>
        </w:rPr>
      </w:pPr>
    </w:p>
    <w:p w14:paraId="39980F37" w14:textId="77777777" w:rsidR="002A2422" w:rsidRDefault="002A2422">
      <w:pPr>
        <w:rPr>
          <w:rFonts w:asciiTheme="minorHAnsi" w:hAnsiTheme="minorHAnsi" w:cstheme="minorHAnsi"/>
          <w:sz w:val="24"/>
          <w:szCs w:val="24"/>
        </w:rPr>
      </w:pPr>
    </w:p>
    <w:p w14:paraId="198C90E4" w14:textId="77777777" w:rsidR="002A2422" w:rsidRDefault="002A2422">
      <w:pPr>
        <w:rPr>
          <w:rFonts w:asciiTheme="minorHAnsi" w:hAnsiTheme="minorHAnsi" w:cstheme="minorHAnsi"/>
          <w:sz w:val="24"/>
          <w:szCs w:val="24"/>
        </w:rPr>
      </w:pPr>
    </w:p>
    <w:p w14:paraId="409F417C" w14:textId="77777777" w:rsidR="002A2422" w:rsidRDefault="002A2422">
      <w:pPr>
        <w:rPr>
          <w:rFonts w:asciiTheme="minorHAnsi" w:hAnsiTheme="minorHAnsi" w:cstheme="minorHAnsi"/>
          <w:sz w:val="24"/>
          <w:szCs w:val="24"/>
        </w:rPr>
      </w:pPr>
    </w:p>
    <w:p w14:paraId="38A016E7" w14:textId="77777777" w:rsidR="002A2422" w:rsidRDefault="002A2422">
      <w:pPr>
        <w:rPr>
          <w:rFonts w:asciiTheme="minorHAnsi" w:hAnsiTheme="minorHAnsi" w:cstheme="minorHAnsi"/>
          <w:sz w:val="24"/>
          <w:szCs w:val="24"/>
        </w:rPr>
      </w:pPr>
    </w:p>
    <w:p w14:paraId="709B6220" w14:textId="77777777" w:rsidR="002A2422" w:rsidRDefault="002A2422">
      <w:pPr>
        <w:rPr>
          <w:rFonts w:asciiTheme="minorHAnsi" w:hAnsiTheme="minorHAnsi" w:cstheme="minorHAnsi"/>
          <w:sz w:val="24"/>
          <w:szCs w:val="24"/>
        </w:rPr>
      </w:pPr>
    </w:p>
    <w:p w14:paraId="14104709" w14:textId="77777777" w:rsidR="002A2422" w:rsidRDefault="002A2422">
      <w:pPr>
        <w:rPr>
          <w:rFonts w:asciiTheme="minorHAnsi" w:hAnsiTheme="minorHAnsi" w:cstheme="minorHAnsi"/>
          <w:sz w:val="24"/>
          <w:szCs w:val="24"/>
        </w:rPr>
      </w:pPr>
    </w:p>
    <w:p w14:paraId="4F81DCD7" w14:textId="77777777" w:rsidR="002A2422" w:rsidRDefault="002A2422">
      <w:pPr>
        <w:rPr>
          <w:rFonts w:asciiTheme="minorHAnsi" w:hAnsiTheme="minorHAnsi" w:cstheme="minorHAnsi"/>
          <w:sz w:val="24"/>
          <w:szCs w:val="24"/>
        </w:rPr>
      </w:pPr>
    </w:p>
    <w:p w14:paraId="44020344" w14:textId="77777777" w:rsidR="002A2422" w:rsidRDefault="002A2422">
      <w:pPr>
        <w:rPr>
          <w:rFonts w:asciiTheme="minorHAnsi" w:hAnsiTheme="minorHAnsi" w:cstheme="minorHAnsi"/>
          <w:sz w:val="24"/>
          <w:szCs w:val="24"/>
        </w:rPr>
      </w:pPr>
    </w:p>
    <w:p w14:paraId="1C441568" w14:textId="77777777" w:rsidR="002A2422" w:rsidRDefault="002A2422">
      <w:pPr>
        <w:rPr>
          <w:rFonts w:asciiTheme="minorHAnsi" w:hAnsiTheme="minorHAnsi" w:cstheme="minorHAnsi"/>
          <w:sz w:val="24"/>
          <w:szCs w:val="24"/>
        </w:rPr>
      </w:pPr>
    </w:p>
    <w:p w14:paraId="7AF5F81E" w14:textId="77777777" w:rsidR="002A2422" w:rsidRDefault="003B3AD7">
      <w:r>
        <w:rPr>
          <w:noProof/>
        </w:rPr>
        <w:lastRenderedPageBreak/>
        <w:drawing>
          <wp:inline distT="0" distB="0" distL="114300" distR="114300" wp14:anchorId="2F6E2CFC" wp14:editId="30C07B6A">
            <wp:extent cx="5943600" cy="8394065"/>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stretch>
                      <a:fillRect/>
                    </a:stretch>
                  </pic:blipFill>
                  <pic:spPr>
                    <a:xfrm>
                      <a:off x="0" y="0"/>
                      <a:ext cx="5943600" cy="8394065"/>
                    </a:xfrm>
                    <a:prstGeom prst="rect">
                      <a:avLst/>
                    </a:prstGeom>
                    <a:noFill/>
                    <a:ln>
                      <a:noFill/>
                    </a:ln>
                  </pic:spPr>
                </pic:pic>
              </a:graphicData>
            </a:graphic>
          </wp:inline>
        </w:drawing>
      </w:r>
    </w:p>
    <w:p w14:paraId="493C7FB9" w14:textId="77777777" w:rsidR="002A2422" w:rsidRDefault="003B3AD7">
      <w:pPr>
        <w:rPr>
          <w:lang w:val="en-US"/>
        </w:rPr>
      </w:pPr>
      <w:r>
        <w:rPr>
          <w:noProof/>
        </w:rPr>
        <w:lastRenderedPageBreak/>
        <w:drawing>
          <wp:inline distT="0" distB="0" distL="114300" distR="114300" wp14:anchorId="634B705D" wp14:editId="60229E56">
            <wp:extent cx="5932170" cy="9832975"/>
            <wp:effectExtent l="0" t="0" r="11430" b="1587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35"/>
                    <a:stretch>
                      <a:fillRect/>
                    </a:stretch>
                  </pic:blipFill>
                  <pic:spPr>
                    <a:xfrm>
                      <a:off x="0" y="0"/>
                      <a:ext cx="5932170" cy="9832975"/>
                    </a:xfrm>
                    <a:prstGeom prst="rect">
                      <a:avLst/>
                    </a:prstGeom>
                    <a:noFill/>
                    <a:ln>
                      <a:noFill/>
                    </a:ln>
                  </pic:spPr>
                </pic:pic>
              </a:graphicData>
            </a:graphic>
          </wp:inline>
        </w:drawing>
      </w:r>
    </w:p>
    <w:sectPr w:rsidR="002A24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82A1E" w14:textId="77777777" w:rsidR="006D122A" w:rsidRDefault="006D122A">
      <w:pPr>
        <w:spacing w:line="240" w:lineRule="auto"/>
      </w:pPr>
      <w:r>
        <w:separator/>
      </w:r>
    </w:p>
  </w:endnote>
  <w:endnote w:type="continuationSeparator" w:id="0">
    <w:p w14:paraId="06D7885E" w14:textId="77777777" w:rsidR="006D122A" w:rsidRDefault="006D12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default"/>
    <w:sig w:usb0="00000000" w:usb1="00000000" w:usb2="00000021" w:usb3="00000000" w:csb0="000001BF"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A1"/>
    <w:family w:val="swiss"/>
    <w:pitch w:val="variable"/>
    <w:sig w:usb0="E0002EFF" w:usb1="C0007843" w:usb2="00000009" w:usb3="00000000" w:csb0="000001FF" w:csb1="00000000"/>
  </w:font>
  <w:font w:name="Calibri-BoldItalic">
    <w:altName w:val="Segoe Print"/>
    <w:charset w:val="00"/>
    <w:family w:val="auto"/>
    <w:pitch w:val="default"/>
  </w:font>
  <w:font w:name="Calibri-Bold">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0197075"/>
    </w:sdtPr>
    <w:sdtEndPr/>
    <w:sdtContent>
      <w:p w14:paraId="4F1B5A15" w14:textId="77777777" w:rsidR="002A2422" w:rsidRDefault="003B3AD7">
        <w:pPr>
          <w:pStyle w:val="a9"/>
          <w:jc w:val="right"/>
        </w:pPr>
        <w:r>
          <w:fldChar w:fldCharType="begin"/>
        </w:r>
        <w:r>
          <w:instrText>PAGE   \* MERGEFORMAT</w:instrText>
        </w:r>
        <w:r>
          <w:fldChar w:fldCharType="separate"/>
        </w:r>
        <w:r>
          <w:t>90</w:t>
        </w:r>
        <w:r>
          <w:fldChar w:fldCharType="end"/>
        </w:r>
      </w:p>
    </w:sdtContent>
  </w:sdt>
  <w:p w14:paraId="675BB403" w14:textId="77777777" w:rsidR="002A2422" w:rsidRDefault="002A2422">
    <w:pP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F4072" w14:textId="77777777" w:rsidR="006D122A" w:rsidRDefault="006D122A">
      <w:pPr>
        <w:spacing w:line="240" w:lineRule="auto"/>
      </w:pPr>
      <w:r>
        <w:separator/>
      </w:r>
    </w:p>
  </w:footnote>
  <w:footnote w:type="continuationSeparator" w:id="0">
    <w:p w14:paraId="4F9CCEC6" w14:textId="77777777" w:rsidR="006D122A" w:rsidRDefault="006D12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18D4" w14:textId="77777777" w:rsidR="002A2422" w:rsidRDefault="003B3AD7">
    <w:pPr>
      <w:tabs>
        <w:tab w:val="center" w:pos="4320"/>
        <w:tab w:val="right" w:pos="8640"/>
      </w:tabs>
      <w:spacing w:line="240" w:lineRule="auto"/>
      <w:jc w:val="left"/>
      <w:rPr>
        <w:rFonts w:ascii="Arial" w:eastAsia="Arial" w:hAnsi="Arial" w:cs="Arial"/>
        <w:color w:val="000000"/>
        <w:lang w:val="en-US"/>
      </w:rPr>
    </w:pPr>
    <w:r>
      <w:rPr>
        <w:rFonts w:ascii="Arial" w:eastAsia="Arial" w:hAnsi="Arial" w:cs="Arial"/>
        <w:noProof/>
        <w:color w:val="000000"/>
        <w:lang w:val="en-US"/>
      </w:rPr>
      <w:drawing>
        <wp:inline distT="0" distB="0" distL="114300" distR="114300" wp14:anchorId="0C4EBBA3" wp14:editId="4381262B">
          <wp:extent cx="4191000" cy="774700"/>
          <wp:effectExtent l="0" t="0" r="0" b="6350"/>
          <wp:docPr id="1" name="Picture 1" descr="Min._of_Culture_&amp;_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in._of_Culture_&amp;_Sports"/>
                  <pic:cNvPicPr>
                    <a:picLocks noChangeAspect="1"/>
                  </pic:cNvPicPr>
                </pic:nvPicPr>
                <pic:blipFill>
                  <a:blip r:embed="rId1"/>
                  <a:stretch>
                    <a:fillRect/>
                  </a:stretch>
                </pic:blipFill>
                <pic:spPr>
                  <a:xfrm>
                    <a:off x="0" y="0"/>
                    <a:ext cx="4191000" cy="774700"/>
                  </a:xfrm>
                  <a:prstGeom prst="rect">
                    <a:avLst/>
                  </a:prstGeom>
                </pic:spPr>
              </pic:pic>
            </a:graphicData>
          </a:graphic>
        </wp:inline>
      </w:drawing>
    </w:r>
  </w:p>
  <w:p w14:paraId="23854A58" w14:textId="77777777" w:rsidR="002A2422" w:rsidRDefault="002A2422">
    <w:pPr>
      <w:tabs>
        <w:tab w:val="center" w:pos="4320"/>
        <w:tab w:val="right" w:pos="8640"/>
      </w:tabs>
      <w:spacing w:line="240" w:lineRule="auto"/>
      <w:jc w:val="left"/>
      <w:rPr>
        <w:rFonts w:ascii="Arial" w:eastAsia="Arial" w:hAnsi="Arial" w:cs="Arial"/>
        <w:color w:val="00000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A8C61" w14:textId="77777777" w:rsidR="002A2422" w:rsidRDefault="002A2422">
    <w:pPr>
      <w:jc w:val="center"/>
      <w:rPr>
        <w:rFonts w:ascii="Calibri" w:eastAsia="Calibri" w:hAnsi="Calibri" w:cs="Calibri"/>
        <w:b/>
        <w:sz w:val="16"/>
        <w:szCs w:val="16"/>
      </w:rPr>
    </w:pPr>
  </w:p>
  <w:p w14:paraId="53A819D6" w14:textId="77777777" w:rsidR="002A2422" w:rsidRDefault="003B3AD7">
    <w:pPr>
      <w:jc w:val="center"/>
      <w:rPr>
        <w:rFonts w:ascii="Calibri" w:eastAsia="Calibri" w:hAnsi="Calibri" w:cs="Calibri"/>
        <w:b/>
        <w:sz w:val="16"/>
        <w:szCs w:val="16"/>
      </w:rPr>
    </w:pPr>
    <w:r>
      <w:rPr>
        <w:rFonts w:ascii="Calibri" w:eastAsia="Calibri" w:hAnsi="Calibri" w:cs="Calibri"/>
        <w:b/>
        <w:sz w:val="16"/>
        <w:szCs w:val="16"/>
      </w:rPr>
      <w:t>Έργο «</w:t>
    </w:r>
    <w:r>
      <w:rPr>
        <w:rFonts w:ascii="Calibri" w:eastAsia="Calibri" w:hAnsi="Calibri" w:cs="Calibri"/>
        <w:bCs/>
        <w:sz w:val="16"/>
        <w:szCs w:val="16"/>
      </w:rPr>
      <w:t>Π</w:t>
    </w:r>
    <w:r>
      <w:rPr>
        <w:rFonts w:asciiTheme="minorHAnsi" w:hAnsiTheme="minorHAnsi" w:cs="Calibri"/>
        <w:sz w:val="16"/>
        <w:szCs w:val="16"/>
      </w:rPr>
      <w:t>αροχή των υπηρεσιών Τεχνικής Βοήθειας για την κατάρτιση του Τομεακού Προγράμματος Ανάπτυξης (ΤΠΑ) του Υπουργείου Πολιτισμού και Αθλητισμού</w:t>
    </w:r>
    <w:r>
      <w:rPr>
        <w:rFonts w:ascii="Calibri" w:eastAsia="Calibri" w:hAnsi="Calibri" w:cs="Calibri"/>
        <w:b/>
        <w:sz w:val="16"/>
        <w:szCs w:val="16"/>
      </w:rPr>
      <w:t xml:space="preserve">»  </w:t>
    </w:r>
    <w:r>
      <w:rPr>
        <w:rFonts w:ascii="Calibri" w:eastAsia="Calibri" w:hAnsi="Calibri" w:cs="Calibri"/>
        <w:bCs/>
        <w:sz w:val="16"/>
        <w:szCs w:val="16"/>
      </w:rPr>
      <w:t>Παραδοτέο :</w:t>
    </w:r>
    <w:r>
      <w:rPr>
        <w:bCs/>
        <w:sz w:val="16"/>
        <w:szCs w:val="16"/>
      </w:rPr>
      <w:t xml:space="preserve"> </w:t>
    </w:r>
    <w:r>
      <w:rPr>
        <w:rFonts w:ascii="Calibri" w:eastAsia="Calibri" w:hAnsi="Calibri" w:cs="Calibri"/>
        <w:bCs/>
        <w:sz w:val="16"/>
        <w:szCs w:val="16"/>
      </w:rPr>
      <w:t>1ο  παραδοτέο της πρότασης του Τομεακού Προγράμματος Ανάπτυξης (ΤΠΑ) του Υπουργείου Πολιτισμού και Αθλητισμού</w:t>
    </w:r>
    <w:r>
      <w:rPr>
        <w:rFonts w:ascii="Calibri" w:eastAsia="Calibri" w:hAnsi="Calibri" w:cs="Calibri"/>
        <w:b/>
        <w:sz w:val="16"/>
        <w:szCs w:val="16"/>
      </w:rPr>
      <w:t xml:space="preserve"> </w:t>
    </w:r>
  </w:p>
  <w:p w14:paraId="72F41436" w14:textId="77777777" w:rsidR="002A2422" w:rsidRDefault="002A2422">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76F8A"/>
    <w:multiLevelType w:val="multilevel"/>
    <w:tmpl w:val="09676F8A"/>
    <w:lvl w:ilvl="0">
      <w:numFmt w:val="bullet"/>
      <w:lvlText w:val=""/>
      <w:lvlJc w:val="left"/>
      <w:pPr>
        <w:ind w:left="1080" w:hanging="72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411697"/>
    <w:multiLevelType w:val="multilevel"/>
    <w:tmpl w:val="194116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9876BEE"/>
    <w:multiLevelType w:val="multilevel"/>
    <w:tmpl w:val="29876BEE"/>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2F6E4912"/>
    <w:multiLevelType w:val="multilevel"/>
    <w:tmpl w:val="2F6E491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396D3C0A"/>
    <w:multiLevelType w:val="multilevel"/>
    <w:tmpl w:val="396D3C0A"/>
    <w:lvl w:ilvl="0">
      <w:start w:val="1"/>
      <w:numFmt w:val="bullet"/>
      <w:lvlText w:val=""/>
      <w:lvlJc w:val="left"/>
      <w:pPr>
        <w:ind w:left="1038" w:hanging="360"/>
      </w:pPr>
      <w:rPr>
        <w:rFonts w:ascii="Symbol" w:hAnsi="Symbol"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5" w15:restartNumberingAfterBreak="0">
    <w:nsid w:val="3B1E3074"/>
    <w:multiLevelType w:val="multilevel"/>
    <w:tmpl w:val="3B1E307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3DFE6F88"/>
    <w:multiLevelType w:val="multilevel"/>
    <w:tmpl w:val="3DFE6F88"/>
    <w:lvl w:ilvl="0">
      <w:start w:val="1"/>
      <w:numFmt w:val="bullet"/>
      <w:lvlText w:val=""/>
      <w:lvlJc w:val="left"/>
      <w:pPr>
        <w:ind w:left="1038" w:hanging="360"/>
      </w:pPr>
      <w:rPr>
        <w:rFonts w:ascii="Symbol" w:hAnsi="Symbol"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7" w15:restartNumberingAfterBreak="0">
    <w:nsid w:val="3E2E3AB6"/>
    <w:multiLevelType w:val="multilevel"/>
    <w:tmpl w:val="3E2E3AB6"/>
    <w:lvl w:ilvl="0">
      <w:start w:val="1"/>
      <w:numFmt w:val="lowerRoman"/>
      <w:lvlText w:val="%1."/>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2BE2A76"/>
    <w:multiLevelType w:val="multilevel"/>
    <w:tmpl w:val="42BE2A7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4401958"/>
    <w:multiLevelType w:val="multilevel"/>
    <w:tmpl w:val="44401958"/>
    <w:lvl w:ilvl="0">
      <w:start w:val="1"/>
      <w:numFmt w:val="decimal"/>
      <w:lvlText w:val="%1."/>
      <w:lvlJc w:val="left"/>
      <w:pPr>
        <w:ind w:left="1393" w:hanging="360"/>
        <w:jc w:val="left"/>
      </w:pPr>
      <w:rPr>
        <w:rFonts w:ascii="Calibri" w:eastAsia="Calibri" w:hAnsi="Calibri" w:cs="Calibri" w:hint="default"/>
        <w:w w:val="100"/>
        <w:sz w:val="22"/>
        <w:szCs w:val="22"/>
        <w:lang w:val="el-GR" w:eastAsia="en-US" w:bidi="ar-SA"/>
      </w:rPr>
    </w:lvl>
    <w:lvl w:ilvl="1">
      <w:numFmt w:val="bullet"/>
      <w:lvlText w:val="•"/>
      <w:lvlJc w:val="left"/>
      <w:pPr>
        <w:ind w:left="2360" w:hanging="360"/>
      </w:pPr>
      <w:rPr>
        <w:rFonts w:hint="default"/>
        <w:lang w:val="el-GR" w:eastAsia="en-US" w:bidi="ar-SA"/>
      </w:rPr>
    </w:lvl>
    <w:lvl w:ilvl="2">
      <w:numFmt w:val="bullet"/>
      <w:lvlText w:val="•"/>
      <w:lvlJc w:val="left"/>
      <w:pPr>
        <w:ind w:left="3321" w:hanging="360"/>
      </w:pPr>
      <w:rPr>
        <w:rFonts w:hint="default"/>
        <w:lang w:val="el-GR" w:eastAsia="en-US" w:bidi="ar-SA"/>
      </w:rPr>
    </w:lvl>
    <w:lvl w:ilvl="3">
      <w:numFmt w:val="bullet"/>
      <w:lvlText w:val="•"/>
      <w:lvlJc w:val="left"/>
      <w:pPr>
        <w:ind w:left="4281" w:hanging="360"/>
      </w:pPr>
      <w:rPr>
        <w:rFonts w:hint="default"/>
        <w:lang w:val="el-GR" w:eastAsia="en-US" w:bidi="ar-SA"/>
      </w:rPr>
    </w:lvl>
    <w:lvl w:ilvl="4">
      <w:numFmt w:val="bullet"/>
      <w:lvlText w:val="•"/>
      <w:lvlJc w:val="left"/>
      <w:pPr>
        <w:ind w:left="5242" w:hanging="360"/>
      </w:pPr>
      <w:rPr>
        <w:rFonts w:hint="default"/>
        <w:lang w:val="el-GR" w:eastAsia="en-US" w:bidi="ar-SA"/>
      </w:rPr>
    </w:lvl>
    <w:lvl w:ilvl="5">
      <w:numFmt w:val="bullet"/>
      <w:lvlText w:val="•"/>
      <w:lvlJc w:val="left"/>
      <w:pPr>
        <w:ind w:left="6203" w:hanging="360"/>
      </w:pPr>
      <w:rPr>
        <w:rFonts w:hint="default"/>
        <w:lang w:val="el-GR" w:eastAsia="en-US" w:bidi="ar-SA"/>
      </w:rPr>
    </w:lvl>
    <w:lvl w:ilvl="6">
      <w:numFmt w:val="bullet"/>
      <w:lvlText w:val="•"/>
      <w:lvlJc w:val="left"/>
      <w:pPr>
        <w:ind w:left="7163" w:hanging="360"/>
      </w:pPr>
      <w:rPr>
        <w:rFonts w:hint="default"/>
        <w:lang w:val="el-GR" w:eastAsia="en-US" w:bidi="ar-SA"/>
      </w:rPr>
    </w:lvl>
    <w:lvl w:ilvl="7">
      <w:numFmt w:val="bullet"/>
      <w:lvlText w:val="•"/>
      <w:lvlJc w:val="left"/>
      <w:pPr>
        <w:ind w:left="8124" w:hanging="360"/>
      </w:pPr>
      <w:rPr>
        <w:rFonts w:hint="default"/>
        <w:lang w:val="el-GR" w:eastAsia="en-US" w:bidi="ar-SA"/>
      </w:rPr>
    </w:lvl>
    <w:lvl w:ilvl="8">
      <w:numFmt w:val="bullet"/>
      <w:lvlText w:val="•"/>
      <w:lvlJc w:val="left"/>
      <w:pPr>
        <w:ind w:left="9085" w:hanging="360"/>
      </w:pPr>
      <w:rPr>
        <w:rFonts w:hint="default"/>
        <w:lang w:val="el-GR" w:eastAsia="en-US" w:bidi="ar-SA"/>
      </w:rPr>
    </w:lvl>
  </w:abstractNum>
  <w:abstractNum w:abstractNumId="10" w15:restartNumberingAfterBreak="0">
    <w:nsid w:val="45A056B8"/>
    <w:multiLevelType w:val="multilevel"/>
    <w:tmpl w:val="45A056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AD4CC1"/>
    <w:multiLevelType w:val="singleLevel"/>
    <w:tmpl w:val="47AD4CC1"/>
    <w:lvl w:ilvl="0">
      <w:start w:val="1"/>
      <w:numFmt w:val="bullet"/>
      <w:lvlText w:val=""/>
      <w:lvlJc w:val="left"/>
      <w:pPr>
        <w:tabs>
          <w:tab w:val="left" w:pos="420"/>
        </w:tabs>
        <w:ind w:left="420" w:hanging="420"/>
      </w:pPr>
      <w:rPr>
        <w:rFonts w:ascii="Wingdings" w:hAnsi="Wingdings" w:hint="default"/>
        <w:sz w:val="16"/>
      </w:rPr>
    </w:lvl>
  </w:abstractNum>
  <w:abstractNum w:abstractNumId="12" w15:restartNumberingAfterBreak="0">
    <w:nsid w:val="497B4B0D"/>
    <w:multiLevelType w:val="multilevel"/>
    <w:tmpl w:val="497B4B0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 w15:restartNumberingAfterBreak="0">
    <w:nsid w:val="4D102B69"/>
    <w:multiLevelType w:val="multilevel"/>
    <w:tmpl w:val="4D102B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E9F5CDC"/>
    <w:multiLevelType w:val="multilevel"/>
    <w:tmpl w:val="4E9F5CD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0604A10"/>
    <w:multiLevelType w:val="multilevel"/>
    <w:tmpl w:val="50604A1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475499C"/>
    <w:multiLevelType w:val="multilevel"/>
    <w:tmpl w:val="5475499C"/>
    <w:lvl w:ilvl="0">
      <w:numFmt w:val="bullet"/>
      <w:lvlText w:val="•"/>
      <w:lvlJc w:val="left"/>
      <w:pPr>
        <w:ind w:left="720" w:hanging="72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B9102A8"/>
    <w:multiLevelType w:val="multilevel"/>
    <w:tmpl w:val="5B9102A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E3A1010"/>
    <w:multiLevelType w:val="multilevel"/>
    <w:tmpl w:val="5E3A1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1DA341F"/>
    <w:multiLevelType w:val="multilevel"/>
    <w:tmpl w:val="61DA341F"/>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7B965AA"/>
    <w:multiLevelType w:val="multilevel"/>
    <w:tmpl w:val="67B965AA"/>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AFD272A"/>
    <w:multiLevelType w:val="multilevel"/>
    <w:tmpl w:val="6AFD272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6C583EA0"/>
    <w:multiLevelType w:val="multilevel"/>
    <w:tmpl w:val="6C583EA0"/>
    <w:lvl w:ilvl="0">
      <w:start w:val="1"/>
      <w:numFmt w:val="lowerRoman"/>
      <w:lvlText w:val="%1."/>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F543F22"/>
    <w:multiLevelType w:val="multilevel"/>
    <w:tmpl w:val="6F543F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0C34606"/>
    <w:multiLevelType w:val="multilevel"/>
    <w:tmpl w:val="70C34606"/>
    <w:lvl w:ilvl="0">
      <w:start w:val="1"/>
      <w:numFmt w:val="upp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7BC298C"/>
    <w:multiLevelType w:val="multilevel"/>
    <w:tmpl w:val="77BC298C"/>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u w:val="single"/>
      </w:rPr>
    </w:lvl>
    <w:lvl w:ilvl="2">
      <w:start w:val="2"/>
      <w:numFmt w:val="decimal"/>
      <w:isLgl/>
      <w:lvlText w:val="%1.%2.%3"/>
      <w:lvlJc w:val="left"/>
      <w:pPr>
        <w:ind w:left="900" w:hanging="54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080" w:hanging="720"/>
      </w:pPr>
      <w:rPr>
        <w:rFonts w:hint="default"/>
        <w:u w:val="single"/>
      </w:rPr>
    </w:lvl>
    <w:lvl w:ilvl="5">
      <w:start w:val="1"/>
      <w:numFmt w:val="decimal"/>
      <w:isLgl/>
      <w:lvlText w:val="%1.%2.%3.%4.%5.%6"/>
      <w:lvlJc w:val="left"/>
      <w:pPr>
        <w:ind w:left="1080" w:hanging="720"/>
      </w:pPr>
      <w:rPr>
        <w:rFonts w:hint="default"/>
        <w:u w:val="single"/>
      </w:rPr>
    </w:lvl>
    <w:lvl w:ilvl="6">
      <w:start w:val="1"/>
      <w:numFmt w:val="decimal"/>
      <w:isLgl/>
      <w:lvlText w:val="%1.%2.%3.%4.%5.%6.%7"/>
      <w:lvlJc w:val="left"/>
      <w:pPr>
        <w:ind w:left="1440" w:hanging="1080"/>
      </w:pPr>
      <w:rPr>
        <w:rFonts w:hint="default"/>
        <w:u w:val="single"/>
      </w:rPr>
    </w:lvl>
    <w:lvl w:ilvl="7">
      <w:start w:val="1"/>
      <w:numFmt w:val="decimal"/>
      <w:isLgl/>
      <w:lvlText w:val="%1.%2.%3.%4.%5.%6.%7.%8"/>
      <w:lvlJc w:val="left"/>
      <w:pPr>
        <w:ind w:left="1440" w:hanging="1080"/>
      </w:pPr>
      <w:rPr>
        <w:rFonts w:hint="default"/>
        <w:u w:val="single"/>
      </w:rPr>
    </w:lvl>
    <w:lvl w:ilvl="8">
      <w:start w:val="1"/>
      <w:numFmt w:val="decimal"/>
      <w:isLgl/>
      <w:lvlText w:val="%1.%2.%3.%4.%5.%6.%7.%8.%9"/>
      <w:lvlJc w:val="left"/>
      <w:pPr>
        <w:ind w:left="1440" w:hanging="1080"/>
      </w:pPr>
      <w:rPr>
        <w:rFonts w:hint="default"/>
        <w:u w:val="single"/>
      </w:rPr>
    </w:lvl>
  </w:abstractNum>
  <w:abstractNum w:abstractNumId="26" w15:restartNumberingAfterBreak="0">
    <w:nsid w:val="787F7AFA"/>
    <w:multiLevelType w:val="multilevel"/>
    <w:tmpl w:val="787F7A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78C97F38"/>
    <w:multiLevelType w:val="multilevel"/>
    <w:tmpl w:val="78C97F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9EA50CD"/>
    <w:multiLevelType w:val="multilevel"/>
    <w:tmpl w:val="79EA50C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7A747F26"/>
    <w:multiLevelType w:val="multilevel"/>
    <w:tmpl w:val="7A747F2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7B5416FF"/>
    <w:multiLevelType w:val="multilevel"/>
    <w:tmpl w:val="7B5416FF"/>
    <w:lvl w:ilvl="0">
      <w:start w:val="1"/>
      <w:numFmt w:val="bullet"/>
      <w:lvlText w:val=""/>
      <w:lvlJc w:val="left"/>
      <w:pPr>
        <w:ind w:left="1038" w:hanging="360"/>
      </w:pPr>
      <w:rPr>
        <w:rFonts w:ascii="Symbol" w:hAnsi="Symbol"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31" w15:restartNumberingAfterBreak="0">
    <w:nsid w:val="7FD84CDD"/>
    <w:multiLevelType w:val="multilevel"/>
    <w:tmpl w:val="7FD84CD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
  </w:num>
  <w:num w:numId="2">
    <w:abstractNumId w:val="16"/>
  </w:num>
  <w:num w:numId="3">
    <w:abstractNumId w:val="20"/>
  </w:num>
  <w:num w:numId="4">
    <w:abstractNumId w:val="26"/>
  </w:num>
  <w:num w:numId="5">
    <w:abstractNumId w:val="21"/>
  </w:num>
  <w:num w:numId="6">
    <w:abstractNumId w:val="31"/>
  </w:num>
  <w:num w:numId="7">
    <w:abstractNumId w:val="23"/>
  </w:num>
  <w:num w:numId="8">
    <w:abstractNumId w:val="18"/>
  </w:num>
  <w:num w:numId="9">
    <w:abstractNumId w:val="0"/>
  </w:num>
  <w:num w:numId="10">
    <w:abstractNumId w:val="25"/>
  </w:num>
  <w:num w:numId="11">
    <w:abstractNumId w:val="11"/>
  </w:num>
  <w:num w:numId="12">
    <w:abstractNumId w:val="27"/>
  </w:num>
  <w:num w:numId="13">
    <w:abstractNumId w:val="3"/>
  </w:num>
  <w:num w:numId="14">
    <w:abstractNumId w:val="1"/>
  </w:num>
  <w:num w:numId="15">
    <w:abstractNumId w:val="6"/>
  </w:num>
  <w:num w:numId="16">
    <w:abstractNumId w:val="5"/>
  </w:num>
  <w:num w:numId="17">
    <w:abstractNumId w:val="28"/>
  </w:num>
  <w:num w:numId="18">
    <w:abstractNumId w:val="10"/>
  </w:num>
  <w:num w:numId="19">
    <w:abstractNumId w:val="13"/>
  </w:num>
  <w:num w:numId="20">
    <w:abstractNumId w:val="12"/>
  </w:num>
  <w:num w:numId="21">
    <w:abstractNumId w:val="4"/>
  </w:num>
  <w:num w:numId="22">
    <w:abstractNumId w:val="30"/>
  </w:num>
  <w:num w:numId="23">
    <w:abstractNumId w:val="29"/>
  </w:num>
  <w:num w:numId="24">
    <w:abstractNumId w:val="9"/>
  </w:num>
  <w:num w:numId="25">
    <w:abstractNumId w:val="17"/>
  </w:num>
  <w:num w:numId="26">
    <w:abstractNumId w:val="14"/>
  </w:num>
  <w:num w:numId="27">
    <w:abstractNumId w:val="15"/>
  </w:num>
  <w:num w:numId="28">
    <w:abstractNumId w:val="22"/>
  </w:num>
  <w:num w:numId="29">
    <w:abstractNumId w:val="24"/>
  </w:num>
  <w:num w:numId="30">
    <w:abstractNumId w:val="19"/>
  </w:num>
  <w:num w:numId="31">
    <w:abstractNumId w:val="7"/>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oNotDisplayPageBoundaries/>
  <w:proofState w:spelling="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E78"/>
    <w:rsid w:val="00004D37"/>
    <w:rsid w:val="0001232C"/>
    <w:rsid w:val="00012AB5"/>
    <w:rsid w:val="00023226"/>
    <w:rsid w:val="0002534A"/>
    <w:rsid w:val="000258F4"/>
    <w:rsid w:val="000313CA"/>
    <w:rsid w:val="000420F1"/>
    <w:rsid w:val="00045B00"/>
    <w:rsid w:val="0005161B"/>
    <w:rsid w:val="000517D7"/>
    <w:rsid w:val="000549E1"/>
    <w:rsid w:val="0005686B"/>
    <w:rsid w:val="00061712"/>
    <w:rsid w:val="00062710"/>
    <w:rsid w:val="000642D2"/>
    <w:rsid w:val="00066696"/>
    <w:rsid w:val="0007235F"/>
    <w:rsid w:val="0008167D"/>
    <w:rsid w:val="00091FC0"/>
    <w:rsid w:val="000949FF"/>
    <w:rsid w:val="00094F83"/>
    <w:rsid w:val="000971CB"/>
    <w:rsid w:val="000B2572"/>
    <w:rsid w:val="000B50FD"/>
    <w:rsid w:val="000C35E2"/>
    <w:rsid w:val="000C60A3"/>
    <w:rsid w:val="000D157B"/>
    <w:rsid w:val="000E38F5"/>
    <w:rsid w:val="000F24FB"/>
    <w:rsid w:val="000F3D1C"/>
    <w:rsid w:val="00104873"/>
    <w:rsid w:val="00121224"/>
    <w:rsid w:val="00123481"/>
    <w:rsid w:val="00137EA3"/>
    <w:rsid w:val="00141E16"/>
    <w:rsid w:val="00150252"/>
    <w:rsid w:val="00171755"/>
    <w:rsid w:val="00172EB6"/>
    <w:rsid w:val="00184163"/>
    <w:rsid w:val="0019380F"/>
    <w:rsid w:val="001954B8"/>
    <w:rsid w:val="001A31AB"/>
    <w:rsid w:val="001A5351"/>
    <w:rsid w:val="001A7F1C"/>
    <w:rsid w:val="001B2A41"/>
    <w:rsid w:val="001D0F3F"/>
    <w:rsid w:val="001D6755"/>
    <w:rsid w:val="001E344C"/>
    <w:rsid w:val="001F44E7"/>
    <w:rsid w:val="002005C4"/>
    <w:rsid w:val="00200ECA"/>
    <w:rsid w:val="00224F92"/>
    <w:rsid w:val="00231A7B"/>
    <w:rsid w:val="00242D42"/>
    <w:rsid w:val="00271057"/>
    <w:rsid w:val="0027570E"/>
    <w:rsid w:val="002866BF"/>
    <w:rsid w:val="002873EE"/>
    <w:rsid w:val="002A2422"/>
    <w:rsid w:val="002B2310"/>
    <w:rsid w:val="002C0BC8"/>
    <w:rsid w:val="002C360B"/>
    <w:rsid w:val="002C5F8A"/>
    <w:rsid w:val="002D36F5"/>
    <w:rsid w:val="002D59AE"/>
    <w:rsid w:val="002E0C3F"/>
    <w:rsid w:val="002E227F"/>
    <w:rsid w:val="002E3464"/>
    <w:rsid w:val="00302990"/>
    <w:rsid w:val="003109E0"/>
    <w:rsid w:val="003163FB"/>
    <w:rsid w:val="003416E8"/>
    <w:rsid w:val="00353BE4"/>
    <w:rsid w:val="003541D6"/>
    <w:rsid w:val="00367028"/>
    <w:rsid w:val="00373CBE"/>
    <w:rsid w:val="003749E9"/>
    <w:rsid w:val="00375B2F"/>
    <w:rsid w:val="003771E4"/>
    <w:rsid w:val="00377A26"/>
    <w:rsid w:val="00387908"/>
    <w:rsid w:val="00394827"/>
    <w:rsid w:val="003A70EF"/>
    <w:rsid w:val="003B2A49"/>
    <w:rsid w:val="003B2EB4"/>
    <w:rsid w:val="003B3AD7"/>
    <w:rsid w:val="003D0A97"/>
    <w:rsid w:val="003D3331"/>
    <w:rsid w:val="003D4505"/>
    <w:rsid w:val="003D6DBC"/>
    <w:rsid w:val="003E1FAC"/>
    <w:rsid w:val="003E5856"/>
    <w:rsid w:val="003E7233"/>
    <w:rsid w:val="003F46FC"/>
    <w:rsid w:val="0042006D"/>
    <w:rsid w:val="00426D35"/>
    <w:rsid w:val="00427126"/>
    <w:rsid w:val="004316C5"/>
    <w:rsid w:val="00435766"/>
    <w:rsid w:val="00435B13"/>
    <w:rsid w:val="004431A4"/>
    <w:rsid w:val="00444E3A"/>
    <w:rsid w:val="00447189"/>
    <w:rsid w:val="00451D54"/>
    <w:rsid w:val="004553E5"/>
    <w:rsid w:val="004613F2"/>
    <w:rsid w:val="0046569A"/>
    <w:rsid w:val="004946D9"/>
    <w:rsid w:val="00497B78"/>
    <w:rsid w:val="004A23A8"/>
    <w:rsid w:val="004A5D4A"/>
    <w:rsid w:val="004A6EEC"/>
    <w:rsid w:val="004B030B"/>
    <w:rsid w:val="004C2BA8"/>
    <w:rsid w:val="004E2706"/>
    <w:rsid w:val="004E44E0"/>
    <w:rsid w:val="004E7226"/>
    <w:rsid w:val="004F21DC"/>
    <w:rsid w:val="004F419B"/>
    <w:rsid w:val="004F63FD"/>
    <w:rsid w:val="004F6861"/>
    <w:rsid w:val="00516509"/>
    <w:rsid w:val="0054675C"/>
    <w:rsid w:val="00553955"/>
    <w:rsid w:val="00554B9B"/>
    <w:rsid w:val="0055654C"/>
    <w:rsid w:val="00557153"/>
    <w:rsid w:val="00570611"/>
    <w:rsid w:val="00571FED"/>
    <w:rsid w:val="005760E5"/>
    <w:rsid w:val="00577F3C"/>
    <w:rsid w:val="00585CB7"/>
    <w:rsid w:val="00591BE4"/>
    <w:rsid w:val="005A12E9"/>
    <w:rsid w:val="005A286D"/>
    <w:rsid w:val="005B3C4B"/>
    <w:rsid w:val="005C471C"/>
    <w:rsid w:val="005C5A9E"/>
    <w:rsid w:val="005C6278"/>
    <w:rsid w:val="005C6E32"/>
    <w:rsid w:val="005D6336"/>
    <w:rsid w:val="005E252E"/>
    <w:rsid w:val="005E2A33"/>
    <w:rsid w:val="005E4924"/>
    <w:rsid w:val="005F4043"/>
    <w:rsid w:val="0060142D"/>
    <w:rsid w:val="00604271"/>
    <w:rsid w:val="006238D8"/>
    <w:rsid w:val="00625BE8"/>
    <w:rsid w:val="0062653A"/>
    <w:rsid w:val="00627C5F"/>
    <w:rsid w:val="00664BAD"/>
    <w:rsid w:val="00666F04"/>
    <w:rsid w:val="006865EB"/>
    <w:rsid w:val="00687A87"/>
    <w:rsid w:val="006A1B12"/>
    <w:rsid w:val="006A231B"/>
    <w:rsid w:val="006A6D7D"/>
    <w:rsid w:val="006B0506"/>
    <w:rsid w:val="006C3B01"/>
    <w:rsid w:val="006C3DF9"/>
    <w:rsid w:val="006D122A"/>
    <w:rsid w:val="006E7952"/>
    <w:rsid w:val="006F07C3"/>
    <w:rsid w:val="00704E44"/>
    <w:rsid w:val="00705F4F"/>
    <w:rsid w:val="0071431C"/>
    <w:rsid w:val="0072147B"/>
    <w:rsid w:val="0072674A"/>
    <w:rsid w:val="007334F3"/>
    <w:rsid w:val="00735981"/>
    <w:rsid w:val="007440D5"/>
    <w:rsid w:val="00744238"/>
    <w:rsid w:val="00745096"/>
    <w:rsid w:val="007627DC"/>
    <w:rsid w:val="00770AA7"/>
    <w:rsid w:val="0077591A"/>
    <w:rsid w:val="0079293F"/>
    <w:rsid w:val="007950CB"/>
    <w:rsid w:val="00795175"/>
    <w:rsid w:val="007A32A2"/>
    <w:rsid w:val="007A5F41"/>
    <w:rsid w:val="007B261C"/>
    <w:rsid w:val="007B5D24"/>
    <w:rsid w:val="007C58F2"/>
    <w:rsid w:val="007C5CD7"/>
    <w:rsid w:val="007C6B0E"/>
    <w:rsid w:val="007D4254"/>
    <w:rsid w:val="007F09C8"/>
    <w:rsid w:val="007F0CC1"/>
    <w:rsid w:val="007F3D87"/>
    <w:rsid w:val="00806492"/>
    <w:rsid w:val="00807167"/>
    <w:rsid w:val="008071DC"/>
    <w:rsid w:val="00810F1F"/>
    <w:rsid w:val="0082034E"/>
    <w:rsid w:val="00831998"/>
    <w:rsid w:val="00831B71"/>
    <w:rsid w:val="00874B10"/>
    <w:rsid w:val="00883549"/>
    <w:rsid w:val="00893276"/>
    <w:rsid w:val="008B0844"/>
    <w:rsid w:val="008C254A"/>
    <w:rsid w:val="008D0A5A"/>
    <w:rsid w:val="008D0FF8"/>
    <w:rsid w:val="008E2E78"/>
    <w:rsid w:val="008E6DBE"/>
    <w:rsid w:val="0090282E"/>
    <w:rsid w:val="00904968"/>
    <w:rsid w:val="00910945"/>
    <w:rsid w:val="00912BB5"/>
    <w:rsid w:val="00913328"/>
    <w:rsid w:val="00916A64"/>
    <w:rsid w:val="00916D47"/>
    <w:rsid w:val="009331D1"/>
    <w:rsid w:val="009400EC"/>
    <w:rsid w:val="00943479"/>
    <w:rsid w:val="00943EB9"/>
    <w:rsid w:val="00952BC0"/>
    <w:rsid w:val="009626BD"/>
    <w:rsid w:val="009648E9"/>
    <w:rsid w:val="009720F1"/>
    <w:rsid w:val="00972466"/>
    <w:rsid w:val="00973370"/>
    <w:rsid w:val="00977AF8"/>
    <w:rsid w:val="00984AAA"/>
    <w:rsid w:val="00986245"/>
    <w:rsid w:val="00991EAE"/>
    <w:rsid w:val="009953BD"/>
    <w:rsid w:val="009A02A1"/>
    <w:rsid w:val="009A04F9"/>
    <w:rsid w:val="009C7E09"/>
    <w:rsid w:val="009D1E46"/>
    <w:rsid w:val="009E5A30"/>
    <w:rsid w:val="009F38DD"/>
    <w:rsid w:val="009F68FF"/>
    <w:rsid w:val="009F78AD"/>
    <w:rsid w:val="00A061A8"/>
    <w:rsid w:val="00A1139C"/>
    <w:rsid w:val="00A1544F"/>
    <w:rsid w:val="00A278D0"/>
    <w:rsid w:val="00A33D20"/>
    <w:rsid w:val="00A44B50"/>
    <w:rsid w:val="00A47AD3"/>
    <w:rsid w:val="00A54BC6"/>
    <w:rsid w:val="00A65813"/>
    <w:rsid w:val="00A7433B"/>
    <w:rsid w:val="00A76B25"/>
    <w:rsid w:val="00A8253D"/>
    <w:rsid w:val="00A90137"/>
    <w:rsid w:val="00A92C2A"/>
    <w:rsid w:val="00A93ACF"/>
    <w:rsid w:val="00AA5B29"/>
    <w:rsid w:val="00AB063D"/>
    <w:rsid w:val="00AB26BC"/>
    <w:rsid w:val="00AC05F0"/>
    <w:rsid w:val="00AC358D"/>
    <w:rsid w:val="00AC3E00"/>
    <w:rsid w:val="00AD289D"/>
    <w:rsid w:val="00AD441D"/>
    <w:rsid w:val="00AD68E9"/>
    <w:rsid w:val="00AF0A6E"/>
    <w:rsid w:val="00AF37C6"/>
    <w:rsid w:val="00B051DA"/>
    <w:rsid w:val="00B147CF"/>
    <w:rsid w:val="00B31AE6"/>
    <w:rsid w:val="00B55E8F"/>
    <w:rsid w:val="00B568EA"/>
    <w:rsid w:val="00B6056C"/>
    <w:rsid w:val="00B67EE2"/>
    <w:rsid w:val="00B728D1"/>
    <w:rsid w:val="00B82D27"/>
    <w:rsid w:val="00B84714"/>
    <w:rsid w:val="00BA0844"/>
    <w:rsid w:val="00BA3F23"/>
    <w:rsid w:val="00BC1B4A"/>
    <w:rsid w:val="00BC2F81"/>
    <w:rsid w:val="00BC7A9A"/>
    <w:rsid w:val="00BD0199"/>
    <w:rsid w:val="00BD7AEA"/>
    <w:rsid w:val="00BE02CA"/>
    <w:rsid w:val="00C051BD"/>
    <w:rsid w:val="00C3215B"/>
    <w:rsid w:val="00C454B9"/>
    <w:rsid w:val="00C50415"/>
    <w:rsid w:val="00C60F3E"/>
    <w:rsid w:val="00C61CC2"/>
    <w:rsid w:val="00C62CBA"/>
    <w:rsid w:val="00C63978"/>
    <w:rsid w:val="00C669BC"/>
    <w:rsid w:val="00C753E7"/>
    <w:rsid w:val="00C820FC"/>
    <w:rsid w:val="00C957FF"/>
    <w:rsid w:val="00C95EDE"/>
    <w:rsid w:val="00C95EE9"/>
    <w:rsid w:val="00CA3B67"/>
    <w:rsid w:val="00CB0CE0"/>
    <w:rsid w:val="00CB2BEE"/>
    <w:rsid w:val="00CC0E3F"/>
    <w:rsid w:val="00CC13BD"/>
    <w:rsid w:val="00CE0955"/>
    <w:rsid w:val="00CE13DC"/>
    <w:rsid w:val="00CE3B12"/>
    <w:rsid w:val="00CF1562"/>
    <w:rsid w:val="00D102E0"/>
    <w:rsid w:val="00D15C25"/>
    <w:rsid w:val="00D242F7"/>
    <w:rsid w:val="00D328C7"/>
    <w:rsid w:val="00D33CD3"/>
    <w:rsid w:val="00D41C63"/>
    <w:rsid w:val="00D51083"/>
    <w:rsid w:val="00D55A29"/>
    <w:rsid w:val="00D577DE"/>
    <w:rsid w:val="00D85020"/>
    <w:rsid w:val="00D85BC5"/>
    <w:rsid w:val="00D916A1"/>
    <w:rsid w:val="00DA3E68"/>
    <w:rsid w:val="00DA7C8C"/>
    <w:rsid w:val="00DB1AE0"/>
    <w:rsid w:val="00DB2F15"/>
    <w:rsid w:val="00DB54D0"/>
    <w:rsid w:val="00DC3BBB"/>
    <w:rsid w:val="00DD211C"/>
    <w:rsid w:val="00DD6C68"/>
    <w:rsid w:val="00DE6635"/>
    <w:rsid w:val="00DE696A"/>
    <w:rsid w:val="00DF7F62"/>
    <w:rsid w:val="00E1155A"/>
    <w:rsid w:val="00E13E76"/>
    <w:rsid w:val="00E27668"/>
    <w:rsid w:val="00E35C97"/>
    <w:rsid w:val="00E408A1"/>
    <w:rsid w:val="00E50894"/>
    <w:rsid w:val="00E52F72"/>
    <w:rsid w:val="00E53580"/>
    <w:rsid w:val="00E60D4A"/>
    <w:rsid w:val="00E63312"/>
    <w:rsid w:val="00E66BB5"/>
    <w:rsid w:val="00E915C3"/>
    <w:rsid w:val="00E9453C"/>
    <w:rsid w:val="00E94E8A"/>
    <w:rsid w:val="00EA617D"/>
    <w:rsid w:val="00EA681D"/>
    <w:rsid w:val="00EA6BFD"/>
    <w:rsid w:val="00EC273C"/>
    <w:rsid w:val="00EC347E"/>
    <w:rsid w:val="00EC67F3"/>
    <w:rsid w:val="00EC6E06"/>
    <w:rsid w:val="00ED1BC8"/>
    <w:rsid w:val="00ED3D58"/>
    <w:rsid w:val="00EE3441"/>
    <w:rsid w:val="00EF4A26"/>
    <w:rsid w:val="00F00D74"/>
    <w:rsid w:val="00F121FA"/>
    <w:rsid w:val="00F13AAD"/>
    <w:rsid w:val="00F1418F"/>
    <w:rsid w:val="00F309D2"/>
    <w:rsid w:val="00F32505"/>
    <w:rsid w:val="00F43799"/>
    <w:rsid w:val="00F44F0B"/>
    <w:rsid w:val="00F543AE"/>
    <w:rsid w:val="00F57883"/>
    <w:rsid w:val="00F63D6D"/>
    <w:rsid w:val="00F723EA"/>
    <w:rsid w:val="00F73ED0"/>
    <w:rsid w:val="00F75A40"/>
    <w:rsid w:val="00F81BBB"/>
    <w:rsid w:val="00F83595"/>
    <w:rsid w:val="00F83DE4"/>
    <w:rsid w:val="00F90F10"/>
    <w:rsid w:val="00FA222E"/>
    <w:rsid w:val="00FA48B0"/>
    <w:rsid w:val="00FC499F"/>
    <w:rsid w:val="00FD3D26"/>
    <w:rsid w:val="00FE5090"/>
    <w:rsid w:val="00FF3DFE"/>
    <w:rsid w:val="00FF5670"/>
    <w:rsid w:val="00FF7A4E"/>
    <w:rsid w:val="03895486"/>
    <w:rsid w:val="098F25ED"/>
    <w:rsid w:val="108703DB"/>
    <w:rsid w:val="125C1E2F"/>
    <w:rsid w:val="161B351B"/>
    <w:rsid w:val="1BC548ED"/>
    <w:rsid w:val="211D6617"/>
    <w:rsid w:val="246434EC"/>
    <w:rsid w:val="277A2D6D"/>
    <w:rsid w:val="280348FC"/>
    <w:rsid w:val="29730A42"/>
    <w:rsid w:val="31120061"/>
    <w:rsid w:val="32BD5133"/>
    <w:rsid w:val="34D06A15"/>
    <w:rsid w:val="385F06A6"/>
    <w:rsid w:val="3A4374D7"/>
    <w:rsid w:val="41627BA1"/>
    <w:rsid w:val="429F78AA"/>
    <w:rsid w:val="43650636"/>
    <w:rsid w:val="476270FA"/>
    <w:rsid w:val="49A66788"/>
    <w:rsid w:val="4E1E2E99"/>
    <w:rsid w:val="50B439D3"/>
    <w:rsid w:val="63912E36"/>
    <w:rsid w:val="6CA13F21"/>
    <w:rsid w:val="6F87654D"/>
    <w:rsid w:val="7C6844C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30E2F"/>
  <w15:docId w15:val="{DE078944-5530-4BFD-A445-D625C266C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auto"/>
      <w:jc w:val="both"/>
    </w:pPr>
    <w:rPr>
      <w:rFonts w:ascii="Tahoma" w:eastAsia="Tahoma" w:hAnsi="Tahoma" w:cs="Tahoma"/>
      <w:sz w:val="22"/>
      <w:szCs w:val="22"/>
    </w:rPr>
  </w:style>
  <w:style w:type="paragraph" w:styleId="1">
    <w:name w:val="heading 1"/>
    <w:basedOn w:val="a"/>
    <w:next w:val="a"/>
    <w:link w:val="1Char"/>
    <w:uiPriority w:val="9"/>
    <w:qFormat/>
    <w:pPr>
      <w:keepNext/>
      <w:numPr>
        <w:numId w:val="1"/>
      </w:numPr>
      <w:pBdr>
        <w:bottom w:val="single" w:sz="4" w:space="1" w:color="333399"/>
      </w:pBdr>
      <w:tabs>
        <w:tab w:val="left" w:pos="1134"/>
      </w:tabs>
      <w:spacing w:before="60" w:after="240" w:line="259" w:lineRule="auto"/>
      <w:ind w:left="1134" w:hanging="1134"/>
      <w:outlineLvl w:val="0"/>
    </w:pPr>
    <w:rPr>
      <w:rFonts w:asciiTheme="majorHAnsi" w:hAnsiTheme="majorHAnsi" w:cstheme="majorHAnsi"/>
      <w:b/>
      <w:sz w:val="28"/>
      <w:szCs w:val="28"/>
    </w:rPr>
  </w:style>
  <w:style w:type="paragraph" w:styleId="2">
    <w:name w:val="heading 2"/>
    <w:basedOn w:val="a"/>
    <w:next w:val="a"/>
    <w:link w:val="2Char"/>
    <w:uiPriority w:val="9"/>
    <w:unhideWhenUsed/>
    <w:qFormat/>
    <w:pPr>
      <w:keepNext/>
      <w:keepLines/>
      <w:numPr>
        <w:ilvl w:val="1"/>
        <w:numId w:val="1"/>
      </w:numPr>
      <w:tabs>
        <w:tab w:val="left" w:pos="1134"/>
      </w:tabs>
      <w:spacing w:before="60" w:after="60" w:line="259" w:lineRule="auto"/>
      <w:outlineLvl w:val="1"/>
    </w:pPr>
    <w:rPr>
      <w:rFonts w:asciiTheme="majorHAnsi" w:eastAsia="Times New Roman" w:hAnsiTheme="majorHAnsi" w:cstheme="majorHAnsi"/>
      <w:b/>
      <w:bCs/>
      <w:color w:val="2F5496" w:themeColor="accent1" w:themeShade="BF"/>
      <w:sz w:val="26"/>
      <w:szCs w:val="26"/>
      <w:lang w:eastAsia="en-US"/>
    </w:rPr>
  </w:style>
  <w:style w:type="paragraph" w:styleId="3">
    <w:name w:val="heading 3"/>
    <w:basedOn w:val="a"/>
    <w:next w:val="a"/>
    <w:link w:val="3Char"/>
    <w:uiPriority w:val="9"/>
    <w:unhideWhenUsed/>
    <w:qFormat/>
    <w:pPr>
      <w:keepNext/>
      <w:keepLines/>
      <w:numPr>
        <w:ilvl w:val="2"/>
        <w:numId w:val="1"/>
      </w:numPr>
      <w:tabs>
        <w:tab w:val="left" w:pos="1134"/>
      </w:tabs>
      <w:spacing w:before="60" w:after="120"/>
      <w:ind w:left="1134" w:hanging="1134"/>
      <w:outlineLvl w:val="2"/>
    </w:pPr>
    <w:rPr>
      <w:rFonts w:asciiTheme="majorHAnsi" w:hAnsiTheme="majorHAnsi" w:cstheme="majorHAnsi"/>
      <w:b/>
      <w:sz w:val="24"/>
      <w:szCs w:val="24"/>
    </w:rPr>
  </w:style>
  <w:style w:type="paragraph" w:styleId="4">
    <w:name w:val="heading 4"/>
    <w:basedOn w:val="a"/>
    <w:next w:val="a"/>
    <w:link w:val="4Char"/>
    <w:uiPriority w:val="9"/>
    <w:unhideWhenUsed/>
    <w:qFormat/>
    <w:pPr>
      <w:keepNext/>
      <w:keepLines/>
      <w:numPr>
        <w:ilvl w:val="3"/>
        <w:numId w:val="1"/>
      </w:numPr>
      <w:tabs>
        <w:tab w:val="left" w:pos="1134"/>
      </w:tabs>
      <w:spacing w:before="60" w:after="120" w:line="259" w:lineRule="auto"/>
      <w:ind w:left="1134" w:hanging="1134"/>
      <w:outlineLvl w:val="3"/>
    </w:pPr>
    <w:rPr>
      <w:rFonts w:asciiTheme="majorHAnsi" w:eastAsiaTheme="majorEastAsia" w:hAnsiTheme="majorHAnsi" w:cstheme="majorBidi"/>
      <w:b/>
      <w:bCs/>
      <w:sz w:val="24"/>
      <w:szCs w:val="24"/>
    </w:rPr>
  </w:style>
  <w:style w:type="paragraph" w:styleId="5">
    <w:name w:val="heading 5"/>
    <w:basedOn w:val="a"/>
    <w:next w:val="a"/>
    <w:link w:val="5Char"/>
    <w:uiPriority w:val="9"/>
    <w:semiHidden/>
    <w:unhideWhenUsed/>
    <w:qFormat/>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pPr>
      <w:keepNext/>
      <w:keepLines/>
      <w:numPr>
        <w:ilvl w:val="5"/>
        <w:numId w:val="1"/>
      </w:numPr>
      <w:spacing w:before="4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Char"/>
    <w:uiPriority w:val="9"/>
    <w:semiHidden/>
    <w:unhideWhenUsed/>
    <w:qFormat/>
    <w:pPr>
      <w:keepNext/>
      <w:keepLines/>
      <w:numPr>
        <w:ilvl w:val="6"/>
        <w:numId w:val="1"/>
      </w:numPr>
      <w:spacing w:before="4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Char"/>
    <w:uiPriority w:val="9"/>
    <w:semiHidden/>
    <w:unhideWhenUsed/>
    <w:qFormat/>
    <w:pPr>
      <w:keepNext/>
      <w:keepLines/>
      <w:numPr>
        <w:ilvl w:val="7"/>
        <w:numId w:val="1"/>
      </w:numPr>
      <w:spacing w:before="4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9"/>
    <w:semiHidden/>
    <w:unhideWhenUsed/>
    <w:qFormat/>
    <w:pPr>
      <w:keepNext/>
      <w:keepLines/>
      <w:numPr>
        <w:ilvl w:val="8"/>
        <w:numId w:val="1"/>
      </w:numPr>
      <w:spacing w:before="4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pPr>
      <w:spacing w:line="240" w:lineRule="auto"/>
    </w:pPr>
    <w:rPr>
      <w:rFonts w:ascii="Segoe UI" w:hAnsi="Segoe UI" w:cs="Segoe UI"/>
      <w:sz w:val="18"/>
      <w:szCs w:val="18"/>
    </w:rPr>
  </w:style>
  <w:style w:type="paragraph" w:styleId="a4">
    <w:name w:val="Body Text"/>
    <w:basedOn w:val="a"/>
    <w:link w:val="Char0"/>
    <w:uiPriority w:val="1"/>
    <w:qFormat/>
    <w:pPr>
      <w:widowControl w:val="0"/>
      <w:autoSpaceDE w:val="0"/>
      <w:autoSpaceDN w:val="0"/>
      <w:spacing w:line="240" w:lineRule="auto"/>
      <w:ind w:left="672"/>
    </w:pPr>
    <w:rPr>
      <w:rFonts w:ascii="Calibri" w:eastAsia="Calibri" w:hAnsi="Calibri" w:cs="Calibri"/>
      <w:lang w:eastAsia="en-US"/>
    </w:rPr>
  </w:style>
  <w:style w:type="character" w:styleId="a5">
    <w:name w:val="annotation reference"/>
    <w:basedOn w:val="a0"/>
    <w:uiPriority w:val="99"/>
    <w:semiHidden/>
    <w:unhideWhenUsed/>
    <w:qFormat/>
    <w:rPr>
      <w:sz w:val="16"/>
      <w:szCs w:val="16"/>
    </w:rPr>
  </w:style>
  <w:style w:type="paragraph" w:styleId="a6">
    <w:name w:val="annotation text"/>
    <w:basedOn w:val="a"/>
    <w:link w:val="Char1"/>
    <w:uiPriority w:val="99"/>
    <w:unhideWhenUsed/>
    <w:qFormat/>
    <w:pPr>
      <w:spacing w:line="240" w:lineRule="auto"/>
    </w:pPr>
    <w:rPr>
      <w:sz w:val="20"/>
      <w:szCs w:val="20"/>
    </w:rPr>
  </w:style>
  <w:style w:type="paragraph" w:styleId="a7">
    <w:name w:val="annotation subject"/>
    <w:basedOn w:val="a6"/>
    <w:next w:val="a6"/>
    <w:link w:val="Char2"/>
    <w:uiPriority w:val="99"/>
    <w:semiHidden/>
    <w:unhideWhenUsed/>
    <w:qFormat/>
    <w:rPr>
      <w:b/>
      <w:bCs/>
    </w:rPr>
  </w:style>
  <w:style w:type="character" w:styleId="a8">
    <w:name w:val="Emphasis"/>
    <w:basedOn w:val="a0"/>
    <w:qFormat/>
    <w:rPr>
      <w:i/>
      <w:iCs/>
    </w:rPr>
  </w:style>
  <w:style w:type="paragraph" w:styleId="a9">
    <w:name w:val="footer"/>
    <w:basedOn w:val="a"/>
    <w:link w:val="Char3"/>
    <w:uiPriority w:val="99"/>
    <w:unhideWhenUsed/>
    <w:qFormat/>
    <w:pPr>
      <w:tabs>
        <w:tab w:val="center" w:pos="4680"/>
        <w:tab w:val="right" w:pos="9360"/>
      </w:tabs>
      <w:spacing w:line="240" w:lineRule="auto"/>
    </w:pPr>
  </w:style>
  <w:style w:type="paragraph" w:styleId="aa">
    <w:name w:val="header"/>
    <w:basedOn w:val="a"/>
    <w:link w:val="Char4"/>
    <w:uiPriority w:val="99"/>
    <w:unhideWhenUsed/>
    <w:qFormat/>
    <w:pPr>
      <w:tabs>
        <w:tab w:val="center" w:pos="4680"/>
        <w:tab w:val="right" w:pos="9360"/>
      </w:tabs>
      <w:spacing w:line="240" w:lineRule="auto"/>
    </w:pPr>
  </w:style>
  <w:style w:type="character" w:styleId="-">
    <w:name w:val="Hyperlink"/>
    <w:basedOn w:val="a0"/>
    <w:uiPriority w:val="99"/>
    <w:unhideWhenUsed/>
    <w:qFormat/>
    <w:rPr>
      <w:color w:val="0563C1" w:themeColor="hyperlink"/>
      <w:u w:val="single"/>
    </w:rPr>
  </w:style>
  <w:style w:type="paragraph" w:styleId="Web">
    <w:name w:val="Normal (Web)"/>
    <w:basedOn w:val="a"/>
    <w:qFormat/>
    <w:pPr>
      <w:suppressAutoHyphens/>
      <w:autoSpaceDN w:val="0"/>
      <w:spacing w:before="100" w:after="100" w:line="240" w:lineRule="auto"/>
      <w:jc w:val="left"/>
      <w:textAlignment w:val="baseline"/>
    </w:pPr>
    <w:rPr>
      <w:rFonts w:ascii="Times New Roman" w:eastAsia="Times New Roman" w:hAnsi="Times New Roman" w:cs="Times New Roman"/>
      <w:sz w:val="24"/>
      <w:szCs w:val="24"/>
    </w:rPr>
  </w:style>
  <w:style w:type="character" w:styleId="ab">
    <w:name w:val="Strong"/>
    <w:basedOn w:val="a0"/>
    <w:qFormat/>
    <w:rPr>
      <w:b/>
      <w:bCs/>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toc 1"/>
    <w:basedOn w:val="a"/>
    <w:next w:val="a"/>
    <w:uiPriority w:val="39"/>
    <w:unhideWhenUsed/>
    <w:qFormat/>
    <w:pPr>
      <w:tabs>
        <w:tab w:val="right" w:leader="dot" w:pos="9350"/>
      </w:tabs>
      <w:spacing w:after="100"/>
    </w:pPr>
  </w:style>
  <w:style w:type="paragraph" w:styleId="20">
    <w:name w:val="toc 2"/>
    <w:basedOn w:val="a"/>
    <w:next w:val="a"/>
    <w:uiPriority w:val="39"/>
    <w:unhideWhenUsed/>
    <w:qFormat/>
    <w:pPr>
      <w:spacing w:after="100"/>
      <w:ind w:left="220"/>
    </w:pPr>
  </w:style>
  <w:style w:type="paragraph" w:styleId="30">
    <w:name w:val="toc 3"/>
    <w:basedOn w:val="a"/>
    <w:next w:val="a"/>
    <w:uiPriority w:val="39"/>
    <w:unhideWhenUsed/>
    <w:qFormat/>
    <w:pPr>
      <w:spacing w:after="100"/>
      <w:ind w:left="440"/>
    </w:pPr>
  </w:style>
  <w:style w:type="paragraph" w:styleId="40">
    <w:name w:val="toc 4"/>
    <w:basedOn w:val="a"/>
    <w:next w:val="a"/>
    <w:uiPriority w:val="39"/>
    <w:unhideWhenUsed/>
    <w:qFormat/>
    <w:pPr>
      <w:spacing w:after="100"/>
      <w:ind w:left="660"/>
    </w:pPr>
  </w:style>
  <w:style w:type="paragraph" w:styleId="60">
    <w:name w:val="toc 6"/>
    <w:basedOn w:val="a"/>
    <w:next w:val="a"/>
    <w:uiPriority w:val="39"/>
    <w:unhideWhenUsed/>
    <w:qFormat/>
    <w:pPr>
      <w:spacing w:after="100"/>
      <w:ind w:left="1100"/>
    </w:pPr>
  </w:style>
  <w:style w:type="character" w:customStyle="1" w:styleId="1Char">
    <w:name w:val="Επικεφαλίδα 1 Char"/>
    <w:basedOn w:val="a0"/>
    <w:link w:val="1"/>
    <w:uiPriority w:val="9"/>
    <w:qFormat/>
    <w:rPr>
      <w:rFonts w:asciiTheme="majorHAnsi" w:eastAsia="Tahoma" w:hAnsiTheme="majorHAnsi" w:cstheme="majorHAnsi"/>
      <w:b/>
      <w:sz w:val="28"/>
      <w:szCs w:val="28"/>
    </w:rPr>
  </w:style>
  <w:style w:type="character" w:customStyle="1" w:styleId="2Char">
    <w:name w:val="Επικεφαλίδα 2 Char"/>
    <w:basedOn w:val="a0"/>
    <w:link w:val="2"/>
    <w:uiPriority w:val="9"/>
    <w:qFormat/>
    <w:rPr>
      <w:rFonts w:asciiTheme="majorHAnsi" w:eastAsia="Times New Roman" w:hAnsiTheme="majorHAnsi" w:cstheme="majorHAnsi"/>
      <w:b/>
      <w:bCs/>
      <w:color w:val="2F5496" w:themeColor="accent1" w:themeShade="BF"/>
      <w:sz w:val="26"/>
      <w:szCs w:val="26"/>
      <w:lang w:eastAsia="en-US"/>
    </w:rPr>
  </w:style>
  <w:style w:type="character" w:customStyle="1" w:styleId="3Char">
    <w:name w:val="Επικεφαλίδα 3 Char"/>
    <w:basedOn w:val="a0"/>
    <w:link w:val="3"/>
    <w:uiPriority w:val="9"/>
    <w:qFormat/>
    <w:rPr>
      <w:rFonts w:asciiTheme="majorHAnsi" w:eastAsia="Tahoma" w:hAnsiTheme="majorHAnsi" w:cstheme="majorHAnsi"/>
      <w:b/>
      <w:sz w:val="24"/>
      <w:szCs w:val="24"/>
    </w:rPr>
  </w:style>
  <w:style w:type="paragraph" w:customStyle="1" w:styleId="11">
    <w:name w:val="Επικεφαλίδα ΠΠ1"/>
    <w:basedOn w:val="1"/>
    <w:next w:val="a"/>
    <w:uiPriority w:val="39"/>
    <w:unhideWhenUsed/>
    <w:qFormat/>
    <w:pPr>
      <w:keepLines/>
      <w:pBdr>
        <w:bottom w:val="none" w:sz="0" w:space="0" w:color="auto"/>
      </w:pBdr>
      <w:spacing w:before="240" w:after="0"/>
      <w:jc w:val="left"/>
      <w:outlineLvl w:val="9"/>
    </w:pPr>
    <w:rPr>
      <w:rFonts w:eastAsiaTheme="majorEastAsia" w:cstheme="majorBidi"/>
      <w:b w:val="0"/>
      <w:color w:val="2F5496" w:themeColor="accent1" w:themeShade="BF"/>
      <w:sz w:val="32"/>
      <w:szCs w:val="32"/>
    </w:rPr>
  </w:style>
  <w:style w:type="paragraph" w:styleId="ad">
    <w:name w:val="List Paragraph"/>
    <w:basedOn w:val="a"/>
    <w:uiPriority w:val="1"/>
    <w:qFormat/>
    <w:pPr>
      <w:ind w:left="720"/>
      <w:contextualSpacing/>
    </w:pPr>
  </w:style>
  <w:style w:type="character" w:customStyle="1" w:styleId="Char4">
    <w:name w:val="Κεφαλίδα Char"/>
    <w:basedOn w:val="a0"/>
    <w:link w:val="aa"/>
    <w:uiPriority w:val="99"/>
    <w:qFormat/>
    <w:rPr>
      <w:rFonts w:ascii="Tahoma" w:eastAsia="Tahoma" w:hAnsi="Tahoma" w:cs="Tahoma"/>
      <w:lang w:val="el-GR" w:eastAsia="el-GR"/>
    </w:rPr>
  </w:style>
  <w:style w:type="character" w:customStyle="1" w:styleId="Char3">
    <w:name w:val="Υποσέλιδο Char"/>
    <w:basedOn w:val="a0"/>
    <w:link w:val="a9"/>
    <w:uiPriority w:val="99"/>
    <w:qFormat/>
    <w:rPr>
      <w:rFonts w:ascii="Tahoma" w:eastAsia="Tahoma" w:hAnsi="Tahoma" w:cs="Tahoma"/>
      <w:lang w:val="el-GR" w:eastAsia="el-GR"/>
    </w:rPr>
  </w:style>
  <w:style w:type="paragraph" w:styleId="ae">
    <w:name w:val="No Spacing"/>
    <w:basedOn w:val="a"/>
    <w:uiPriority w:val="1"/>
    <w:qFormat/>
    <w:pPr>
      <w:spacing w:line="240" w:lineRule="auto"/>
    </w:pPr>
    <w:rPr>
      <w:rFonts w:ascii="Cambria" w:eastAsia="MS Mincho" w:hAnsi="Cambria" w:cs="Times New Roman"/>
      <w:sz w:val="24"/>
      <w:szCs w:val="24"/>
      <w:lang w:eastAsia="en-US"/>
    </w:rPr>
  </w:style>
  <w:style w:type="paragraph" w:customStyle="1" w:styleId="Standard">
    <w:name w:val="Standard"/>
    <w:qFormat/>
    <w:pPr>
      <w:suppressAutoHyphens/>
      <w:autoSpaceDN w:val="0"/>
      <w:textAlignment w:val="baseline"/>
    </w:pPr>
    <w:rPr>
      <w:rFonts w:ascii="Liberation Serif" w:eastAsia="NSimSun" w:hAnsi="Liberation Serif" w:cs="Arial"/>
      <w:kern w:val="3"/>
      <w:sz w:val="24"/>
      <w:szCs w:val="24"/>
      <w:lang w:eastAsia="zh-CN" w:bidi="hi-IN"/>
    </w:rPr>
  </w:style>
  <w:style w:type="table" w:customStyle="1" w:styleId="12">
    <w:name w:val="Πλέγμα πίνακα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Λεζάντα1"/>
    <w:basedOn w:val="a"/>
    <w:next w:val="a"/>
    <w:uiPriority w:val="35"/>
    <w:unhideWhenUsed/>
    <w:qFormat/>
    <w:pPr>
      <w:spacing w:after="200" w:line="240" w:lineRule="auto"/>
      <w:jc w:val="left"/>
    </w:pPr>
    <w:rPr>
      <w:rFonts w:ascii="Calibri" w:eastAsia="Calibri" w:hAnsi="Calibri" w:cs="Times New Roman"/>
      <w:i/>
      <w:iCs/>
      <w:color w:val="44546A"/>
      <w:sz w:val="18"/>
      <w:szCs w:val="18"/>
      <w:lang w:val="en-US" w:eastAsia="en-US"/>
    </w:rPr>
  </w:style>
  <w:style w:type="paragraph" w:customStyle="1" w:styleId="Default">
    <w:name w:val="Default"/>
    <w:qFormat/>
    <w:pPr>
      <w:autoSpaceDE w:val="0"/>
      <w:autoSpaceDN w:val="0"/>
      <w:adjustRightInd w:val="0"/>
    </w:pPr>
    <w:rPr>
      <w:rFonts w:eastAsiaTheme="minorHAnsi"/>
      <w:color w:val="000000"/>
      <w:sz w:val="24"/>
      <w:szCs w:val="24"/>
      <w:lang w:eastAsia="en-US"/>
    </w:rPr>
  </w:style>
  <w:style w:type="character" w:customStyle="1" w:styleId="apple-converted-space">
    <w:name w:val="apple-converted-space"/>
    <w:basedOn w:val="a0"/>
    <w:qFormat/>
  </w:style>
  <w:style w:type="character" w:customStyle="1" w:styleId="4Char">
    <w:name w:val="Επικεφαλίδα 4 Char"/>
    <w:basedOn w:val="a0"/>
    <w:link w:val="4"/>
    <w:uiPriority w:val="9"/>
    <w:qFormat/>
    <w:rPr>
      <w:rFonts w:asciiTheme="majorHAnsi" w:eastAsiaTheme="majorEastAsia" w:hAnsiTheme="majorHAnsi" w:cstheme="majorBidi"/>
      <w:b/>
      <w:bCs/>
      <w:sz w:val="24"/>
      <w:szCs w:val="24"/>
    </w:rPr>
  </w:style>
  <w:style w:type="character" w:customStyle="1" w:styleId="5Char">
    <w:name w:val="Επικεφαλίδα 5 Char"/>
    <w:basedOn w:val="a0"/>
    <w:link w:val="5"/>
    <w:uiPriority w:val="9"/>
    <w:semiHidden/>
    <w:qFormat/>
    <w:rPr>
      <w:rFonts w:asciiTheme="majorHAnsi" w:eastAsiaTheme="majorEastAsia" w:hAnsiTheme="majorHAnsi" w:cstheme="majorBidi"/>
      <w:color w:val="2F5496" w:themeColor="accent1" w:themeShade="BF"/>
      <w:sz w:val="22"/>
      <w:szCs w:val="22"/>
    </w:rPr>
  </w:style>
  <w:style w:type="character" w:customStyle="1" w:styleId="6Char">
    <w:name w:val="Επικεφαλίδα 6 Char"/>
    <w:basedOn w:val="a0"/>
    <w:link w:val="6"/>
    <w:uiPriority w:val="9"/>
    <w:semiHidden/>
    <w:qFormat/>
    <w:rPr>
      <w:rFonts w:asciiTheme="majorHAnsi" w:eastAsiaTheme="majorEastAsia" w:hAnsiTheme="majorHAnsi" w:cstheme="majorBidi"/>
      <w:color w:val="1F3864" w:themeColor="accent1" w:themeShade="80"/>
      <w:sz w:val="22"/>
      <w:szCs w:val="22"/>
    </w:rPr>
  </w:style>
  <w:style w:type="character" w:customStyle="1" w:styleId="7Char">
    <w:name w:val="Επικεφαλίδα 7 Char"/>
    <w:basedOn w:val="a0"/>
    <w:link w:val="7"/>
    <w:uiPriority w:val="9"/>
    <w:semiHidden/>
    <w:qFormat/>
    <w:rPr>
      <w:rFonts w:asciiTheme="majorHAnsi" w:eastAsiaTheme="majorEastAsia" w:hAnsiTheme="majorHAnsi" w:cstheme="majorBidi"/>
      <w:i/>
      <w:iCs/>
      <w:color w:val="1F3864" w:themeColor="accent1" w:themeShade="80"/>
      <w:sz w:val="22"/>
      <w:szCs w:val="22"/>
    </w:rPr>
  </w:style>
  <w:style w:type="character" w:customStyle="1" w:styleId="8Char">
    <w:name w:val="Επικεφαλίδα 8 Char"/>
    <w:basedOn w:val="a0"/>
    <w:link w:val="8"/>
    <w:uiPriority w:val="9"/>
    <w:semiHidden/>
    <w:qFormat/>
    <w:rPr>
      <w:rFonts w:asciiTheme="majorHAnsi" w:eastAsiaTheme="majorEastAsia" w:hAnsiTheme="majorHAnsi" w:cstheme="majorBidi"/>
      <w:color w:val="262626" w:themeColor="text1" w:themeTint="D9"/>
      <w:sz w:val="21"/>
      <w:szCs w:val="21"/>
    </w:rPr>
  </w:style>
  <w:style w:type="character" w:customStyle="1" w:styleId="9Char">
    <w:name w:val="Επικεφαλίδα 9 Char"/>
    <w:basedOn w:val="a0"/>
    <w:link w:val="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Char1">
    <w:name w:val="Κείμενο σχολίου Char"/>
    <w:basedOn w:val="a0"/>
    <w:link w:val="a6"/>
    <w:uiPriority w:val="99"/>
    <w:qFormat/>
    <w:rPr>
      <w:rFonts w:ascii="Tahoma" w:eastAsia="Tahoma" w:hAnsi="Tahoma" w:cs="Tahoma"/>
      <w:sz w:val="20"/>
      <w:szCs w:val="20"/>
      <w:lang w:val="el-GR" w:eastAsia="el-GR"/>
    </w:rPr>
  </w:style>
  <w:style w:type="character" w:customStyle="1" w:styleId="Char2">
    <w:name w:val="Θέμα σχολίου Char"/>
    <w:basedOn w:val="Char1"/>
    <w:link w:val="a7"/>
    <w:uiPriority w:val="99"/>
    <w:semiHidden/>
    <w:qFormat/>
    <w:rPr>
      <w:rFonts w:ascii="Tahoma" w:eastAsia="Tahoma" w:hAnsi="Tahoma" w:cs="Tahoma"/>
      <w:b/>
      <w:bCs/>
      <w:sz w:val="20"/>
      <w:szCs w:val="20"/>
      <w:lang w:val="el-GR" w:eastAsia="el-GR"/>
    </w:rPr>
  </w:style>
  <w:style w:type="character" w:customStyle="1" w:styleId="Char">
    <w:name w:val="Κείμενο πλαισίου Char"/>
    <w:basedOn w:val="a0"/>
    <w:link w:val="a3"/>
    <w:uiPriority w:val="99"/>
    <w:semiHidden/>
    <w:qFormat/>
    <w:rPr>
      <w:rFonts w:ascii="Segoe UI" w:eastAsia="Tahoma" w:hAnsi="Segoe UI" w:cs="Segoe UI"/>
      <w:sz w:val="18"/>
      <w:szCs w:val="18"/>
      <w:lang w:val="el-GR" w:eastAsia="el-GR"/>
    </w:rPr>
  </w:style>
  <w:style w:type="table" w:customStyle="1" w:styleId="51">
    <w:name w:val="Απλός πίνακας 51"/>
    <w:basedOn w:val="a1"/>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61">
    <w:name w:val="Πίνακας 2 με πλέγμα - Έμφαση 61"/>
    <w:basedOn w:val="a1"/>
    <w:uiPriority w:val="47"/>
    <w:qFormat/>
    <w:rPr>
      <w:rFonts w:asciiTheme="minorHAnsi" w:eastAsiaTheme="minorHAnsi" w:hAnsiTheme="minorHAnsi" w:cstheme="minorBidi"/>
      <w:sz w:val="22"/>
      <w:szCs w:val="22"/>
    </w:rPr>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31">
    <w:name w:val="Έγχρωμος πίνακας λίστας 6 - Έμφαση 31"/>
    <w:basedOn w:val="a1"/>
    <w:uiPriority w:val="51"/>
    <w:qFormat/>
    <w:rPr>
      <w:rFonts w:asciiTheme="minorHAnsi" w:eastAsiaTheme="minorHAnsi" w:hAnsiTheme="minorHAnsi" w:cstheme="minorBidi"/>
      <w:color w:val="7B7B7B" w:themeColor="accent3" w:themeShade="BF"/>
      <w:sz w:val="22"/>
      <w:szCs w:val="22"/>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
    <w:name w:val="Heading #1_"/>
    <w:basedOn w:val="a0"/>
    <w:qFormat/>
    <w:rPr>
      <w:rFonts w:ascii="Calibri" w:eastAsia="Calibri" w:hAnsi="Calibri" w:cs="Calibri"/>
      <w:sz w:val="30"/>
      <w:szCs w:val="30"/>
      <w:u w:val="none"/>
    </w:rPr>
  </w:style>
  <w:style w:type="character" w:customStyle="1" w:styleId="Heading10">
    <w:name w:val="Heading #1"/>
    <w:basedOn w:val="Heading1"/>
    <w:qFormat/>
    <w:rPr>
      <w:rFonts w:ascii="Calibri" w:eastAsia="Calibri" w:hAnsi="Calibri" w:cs="Calibri"/>
      <w:color w:val="000000"/>
      <w:spacing w:val="0"/>
      <w:w w:val="100"/>
      <w:position w:val="0"/>
      <w:sz w:val="30"/>
      <w:szCs w:val="30"/>
      <w:u w:val="none"/>
      <w:lang w:val="el-GR" w:eastAsia="el-GR" w:bidi="el-GR"/>
    </w:rPr>
  </w:style>
  <w:style w:type="character" w:customStyle="1" w:styleId="Headerorfooter">
    <w:name w:val="Header or footer_"/>
    <w:basedOn w:val="a0"/>
    <w:qFormat/>
    <w:rPr>
      <w:rFonts w:ascii="Calibri" w:eastAsia="Calibri" w:hAnsi="Calibri" w:cs="Calibri"/>
      <w:sz w:val="17"/>
      <w:szCs w:val="17"/>
      <w:u w:val="none"/>
    </w:rPr>
  </w:style>
  <w:style w:type="character" w:customStyle="1" w:styleId="Headerorfooter0">
    <w:name w:val="Header or footer"/>
    <w:basedOn w:val="Headerorfooter"/>
    <w:qFormat/>
    <w:rPr>
      <w:rFonts w:ascii="Calibri" w:eastAsia="Calibri" w:hAnsi="Calibri" w:cs="Calibri"/>
      <w:color w:val="000000"/>
      <w:spacing w:val="0"/>
      <w:w w:val="100"/>
      <w:position w:val="0"/>
      <w:sz w:val="17"/>
      <w:szCs w:val="17"/>
      <w:u w:val="none"/>
      <w:lang w:val="el-GR" w:eastAsia="el-GR" w:bidi="el-GR"/>
    </w:rPr>
  </w:style>
  <w:style w:type="character" w:customStyle="1" w:styleId="HeaderorfooterSpacing3pt">
    <w:name w:val="Header or footer + Spacing 3 pt"/>
    <w:basedOn w:val="Headerorfooter"/>
    <w:qFormat/>
    <w:rPr>
      <w:rFonts w:ascii="Calibri" w:eastAsia="Calibri" w:hAnsi="Calibri" w:cs="Calibri"/>
      <w:color w:val="000000"/>
      <w:spacing w:val="60"/>
      <w:w w:val="100"/>
      <w:position w:val="0"/>
      <w:sz w:val="17"/>
      <w:szCs w:val="17"/>
      <w:u w:val="none"/>
      <w:lang w:val="el-GR" w:eastAsia="el-GR" w:bidi="el-GR"/>
    </w:rPr>
  </w:style>
  <w:style w:type="character" w:customStyle="1" w:styleId="Heading2">
    <w:name w:val="Heading #2_"/>
    <w:basedOn w:val="a0"/>
    <w:qFormat/>
    <w:rPr>
      <w:rFonts w:ascii="Calibri" w:eastAsia="Calibri" w:hAnsi="Calibri" w:cs="Calibri"/>
      <w:sz w:val="23"/>
      <w:szCs w:val="23"/>
      <w:u w:val="none"/>
    </w:rPr>
  </w:style>
  <w:style w:type="character" w:customStyle="1" w:styleId="Heading20">
    <w:name w:val="Heading #2"/>
    <w:basedOn w:val="Heading2"/>
    <w:qFormat/>
    <w:rPr>
      <w:rFonts w:ascii="Calibri" w:eastAsia="Calibri" w:hAnsi="Calibri" w:cs="Calibri"/>
      <w:color w:val="000000"/>
      <w:spacing w:val="0"/>
      <w:w w:val="100"/>
      <w:position w:val="0"/>
      <w:sz w:val="23"/>
      <w:szCs w:val="23"/>
      <w:u w:val="none"/>
      <w:lang w:val="el-GR" w:eastAsia="el-GR" w:bidi="el-GR"/>
    </w:rPr>
  </w:style>
  <w:style w:type="character" w:customStyle="1" w:styleId="Bodytext">
    <w:name w:val="Body text_"/>
    <w:basedOn w:val="a0"/>
    <w:link w:val="14"/>
    <w:qFormat/>
    <w:rPr>
      <w:rFonts w:ascii="Calibri" w:eastAsia="Calibri" w:hAnsi="Calibri" w:cs="Calibri"/>
      <w:shd w:val="clear" w:color="auto" w:fill="FFFFFF"/>
    </w:rPr>
  </w:style>
  <w:style w:type="paragraph" w:customStyle="1" w:styleId="14">
    <w:name w:val="Σώμα κειμένου1"/>
    <w:basedOn w:val="a"/>
    <w:link w:val="Bodytext"/>
    <w:qFormat/>
    <w:pPr>
      <w:widowControl w:val="0"/>
      <w:shd w:val="clear" w:color="auto" w:fill="FFFFFF"/>
      <w:spacing w:before="540" w:after="540" w:line="288" w:lineRule="exact"/>
      <w:ind w:hanging="560"/>
    </w:pPr>
    <w:rPr>
      <w:rFonts w:ascii="Calibri" w:eastAsia="Calibri" w:hAnsi="Calibri" w:cs="Calibri"/>
      <w:sz w:val="20"/>
      <w:szCs w:val="20"/>
    </w:rPr>
  </w:style>
  <w:style w:type="character" w:customStyle="1" w:styleId="Heading3">
    <w:name w:val="Heading #3_"/>
    <w:basedOn w:val="a0"/>
    <w:qFormat/>
    <w:rPr>
      <w:rFonts w:ascii="Calibri" w:eastAsia="Calibri" w:hAnsi="Calibri" w:cs="Calibri"/>
      <w:b/>
      <w:bCs/>
      <w:sz w:val="20"/>
      <w:szCs w:val="20"/>
      <w:u w:val="none"/>
    </w:rPr>
  </w:style>
  <w:style w:type="character" w:customStyle="1" w:styleId="Heading3NotBold">
    <w:name w:val="Heading #3 + Not Bold"/>
    <w:basedOn w:val="Heading3"/>
    <w:qFormat/>
    <w:rPr>
      <w:rFonts w:ascii="Calibri" w:eastAsia="Calibri" w:hAnsi="Calibri" w:cs="Calibri"/>
      <w:b/>
      <w:bCs/>
      <w:color w:val="000000"/>
      <w:spacing w:val="0"/>
      <w:w w:val="100"/>
      <w:position w:val="0"/>
      <w:sz w:val="20"/>
      <w:szCs w:val="20"/>
      <w:u w:val="none"/>
      <w:lang w:val="el-GR" w:eastAsia="el-GR" w:bidi="el-GR"/>
    </w:rPr>
  </w:style>
  <w:style w:type="character" w:customStyle="1" w:styleId="Heading30">
    <w:name w:val="Heading #3"/>
    <w:basedOn w:val="Heading3"/>
    <w:qFormat/>
    <w:rPr>
      <w:rFonts w:ascii="Calibri" w:eastAsia="Calibri" w:hAnsi="Calibri" w:cs="Calibri"/>
      <w:b/>
      <w:bCs/>
      <w:color w:val="000000"/>
      <w:spacing w:val="0"/>
      <w:w w:val="100"/>
      <w:position w:val="0"/>
      <w:sz w:val="20"/>
      <w:szCs w:val="20"/>
      <w:u w:val="single"/>
      <w:lang w:val="el-GR" w:eastAsia="el-GR" w:bidi="el-GR"/>
    </w:rPr>
  </w:style>
  <w:style w:type="character" w:customStyle="1" w:styleId="BodytextBold">
    <w:name w:val="Body text + Bold"/>
    <w:basedOn w:val="Bodytext"/>
    <w:qFormat/>
    <w:rPr>
      <w:rFonts w:ascii="Calibri" w:eastAsia="Calibri" w:hAnsi="Calibri" w:cs="Calibri"/>
      <w:b/>
      <w:bCs/>
      <w:color w:val="000000"/>
      <w:spacing w:val="0"/>
      <w:w w:val="100"/>
      <w:position w:val="0"/>
      <w:u w:val="single"/>
      <w:shd w:val="clear" w:color="auto" w:fill="FFFFFF"/>
      <w:lang w:val="el-GR" w:eastAsia="el-GR" w:bidi="el-GR"/>
    </w:rPr>
  </w:style>
  <w:style w:type="character" w:customStyle="1" w:styleId="Char0">
    <w:name w:val="Σώμα κειμένου Char"/>
    <w:basedOn w:val="a0"/>
    <w:link w:val="a4"/>
    <w:uiPriority w:val="1"/>
    <w:qFormat/>
    <w:rPr>
      <w:rFonts w:ascii="Calibri" w:eastAsia="Calibri" w:hAnsi="Calibri" w:cs="Calibri"/>
      <w:sz w:val="22"/>
      <w:szCs w:val="22"/>
      <w:lang w:eastAsia="en-US"/>
    </w:rPr>
  </w:style>
  <w:style w:type="table" w:customStyle="1" w:styleId="4-31">
    <w:name w:val="Πίνακας 4 με πλέγμα - Έμφαση 31"/>
    <w:basedOn w:val="a1"/>
    <w:uiPriority w:val="49"/>
    <w:qFormat/>
    <w:rPr>
      <w:rFonts w:asciiTheme="minorHAnsi" w:eastAsiaTheme="minorHAnsi" w:hAnsiTheme="minorHAnsi" w:cstheme="minorBidi"/>
      <w:sz w:val="22"/>
      <w:szCs w:val="22"/>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5-31">
    <w:name w:val="Πίνακας 5 με σκούρο πλέγμα - Έμφαση 31"/>
    <w:basedOn w:val="a1"/>
    <w:uiPriority w:val="50"/>
    <w:qFormat/>
    <w:rPr>
      <w:rFonts w:asciiTheme="minorHAnsi" w:eastAsiaTheme="minorHAnsi" w:hAnsiTheme="minorHAnsi" w:cstheme="minorBidi"/>
      <w:sz w:val="22"/>
      <w:szCs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font01">
    <w:name w:val="font01"/>
    <w:rPr>
      <w:rFonts w:ascii="Calibri" w:hAnsi="Calibri" w:cs="Calibri" w:hint="default"/>
      <w:b/>
      <w:bCs/>
      <w:color w:val="FFFFF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7.png"/><Relationship Id="rId39" Type="http://schemas.openxmlformats.org/officeDocument/2006/relationships/customXml" Target="../customXml/item4.xml"/><Relationship Id="rId21" Type="http://schemas.openxmlformats.org/officeDocument/2006/relationships/image" Target="cid:image001.png@01D74266.5D993CA0" TargetMode="Externa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image" Target="media/image6.png"/><Relationship Id="rId33" Type="http://schemas.openxmlformats.org/officeDocument/2006/relationships/header" Target="header2.xml"/><Relationship Id="rId38"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4.png"/><Relationship Id="rId29" Type="http://schemas.openxmlformats.org/officeDocument/2006/relationships/image" Target="cid:image011.png@01D74580.47A90A7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package" Target="embeddings/Microsoft_Excel_Worksheet2.xlsx"/><Relationship Id="rId37" Type="http://schemas.openxmlformats.org/officeDocument/2006/relationships/theme" Target="theme/theme1.xml"/><Relationship Id="rId40"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7.xml"/><Relationship Id="rId31"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3.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tdk\AppData\Local\Microsoft\Windows\INetCache\Content.Outlook\H5UBDORU\&#913;&#957;&#964;&#943;&#947;&#961;&#945;&#966;&#959;%20&#964;&#959;&#965;%20&#917;&#925;&#932;&#913;&#915;&#924;&#917;&#925;&#913;%20&#917;&#929;&#915;&#913;%20&#917;&#931;&#928;&#913;%202014-2020%20-%20&#913;&#928;&#929;&#921;&#923;&#921;&#927;&#931;%209-4-202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tdk\AppData\Local\Microsoft\Windows\INetCache\Content.Outlook\H5UBDORU\&#913;&#957;&#964;&#943;&#947;&#961;&#945;&#966;&#959;%20&#964;&#959;&#965;%20&#917;&#925;&#932;&#913;&#915;&#924;&#917;&#925;&#913;%20&#917;&#929;&#915;&#913;%20&#917;&#931;&#928;&#913;%202014-2020%20-%20&#913;&#928;&#929;&#921;&#923;&#921;&#927;&#931;%209-4-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dk\AppData\Local\Microsoft\Windows\INetCache\Content.Outlook\H5UBDORU\&#913;&#957;&#964;&#943;&#947;&#961;&#945;&#966;&#959;%20&#964;&#959;&#965;%20&#917;&#925;&#932;&#913;&#915;&#924;&#917;&#925;&#913;%20&#917;&#929;&#915;&#913;%20&#917;&#931;&#928;&#913;%202014-2020%20-%20&#913;&#928;&#929;&#921;&#923;&#921;&#927;&#931;%209-4-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dk\AppData\Local\Microsoft\Windows\INetCache\Content.Outlook\H5UBDORU\&#913;&#957;&#964;&#943;&#947;&#961;&#945;&#966;&#959;%20&#964;&#959;&#965;%20&#917;&#925;&#932;&#913;&#915;&#924;&#917;&#925;&#913;%20&#917;&#929;&#915;&#913;%20&#917;&#931;&#928;&#913;%202014-2020%20-%20&#913;&#928;&#929;&#921;&#923;&#921;&#927;&#931;%209-4-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dk\AppData\Local\Microsoft\Windows\INetCache\Content.Outlook\H5UBDORU\&#913;&#957;&#964;&#943;&#947;&#961;&#945;&#966;&#959;%20&#964;&#959;&#965;%20&#917;&#925;&#932;&#913;&#915;&#924;&#917;&#925;&#913;%20&#917;&#929;&#915;&#913;%20&#917;&#931;&#928;&#913;%202014-2020%20-%20&#913;&#928;&#929;&#921;&#923;&#921;&#927;&#931;%209-4-20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tdk\AppData\Local\Microsoft\Windows\INetCache\Content.Outlook\H5UBDORU\&#913;&#957;&#964;&#943;&#947;&#961;&#945;&#966;&#959;%20&#964;&#959;&#965;%20&#917;&#925;&#932;&#913;&#915;&#924;&#917;&#925;&#913;%20&#917;&#929;&#915;&#913;%20&#917;&#931;&#928;&#913;%202014-2020%20-%20&#913;&#928;&#929;&#921;&#923;&#921;&#927;&#931;%209-4-202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tdk\AppData\Local\Microsoft\Windows\INetCache\Content.Outlook\H5UBDORU\&#913;&#957;&#964;&#943;&#947;&#961;&#945;&#966;&#959;%20&#964;&#959;&#965;%20&#917;&#925;&#932;&#913;&#915;&#924;&#917;&#925;&#913;%20&#917;&#929;&#915;&#913;%20&#917;&#931;&#928;&#913;%202014-2020%20-%20&#913;&#928;&#929;&#921;&#923;&#921;&#927;&#931;%209-4-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200"/>
              <a:t>Προϋπολογισμός εγκεκριμένων έργων 2021 ανά πηγή χρηματοδότησης, σε εκ. ευρώ</a:t>
            </a:r>
          </a:p>
        </c:rich>
      </c:tx>
      <c:overlay val="0"/>
      <c:spPr>
        <a:noFill/>
        <a:ln>
          <a:noFill/>
        </a:ln>
        <a:effectLst/>
      </c:spPr>
      <c:txPr>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endParaRPr lang="el-GR"/>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Φύλλο1!$A$2:$A$6</c:f>
              <c:strCache>
                <c:ptCount val="5"/>
                <c:pt idx="0">
                  <c:v>ΣΑΕ 014</c:v>
                </c:pt>
                <c:pt idx="1">
                  <c:v>ΣΑΕ 514</c:v>
                </c:pt>
                <c:pt idx="2">
                  <c:v>ΣΑΕ 814</c:v>
                </c:pt>
                <c:pt idx="3">
                  <c:v>ΣΑΜ 914</c:v>
                </c:pt>
                <c:pt idx="4">
                  <c:v>ΣΑΜ 014</c:v>
                </c:pt>
              </c:strCache>
            </c:strRef>
          </c:cat>
          <c:val>
            <c:numRef>
              <c:f>Φύλλο1!$B$2:$B$6</c:f>
              <c:numCache>
                <c:formatCode>#,##0.00</c:formatCode>
                <c:ptCount val="5"/>
                <c:pt idx="0">
                  <c:v>39.43</c:v>
                </c:pt>
                <c:pt idx="1">
                  <c:v>50.15</c:v>
                </c:pt>
                <c:pt idx="2">
                  <c:v>8.68</c:v>
                </c:pt>
                <c:pt idx="3" formatCode="General">
                  <c:v>5.63</c:v>
                </c:pt>
                <c:pt idx="4">
                  <c:v>2.56</c:v>
                </c:pt>
              </c:numCache>
            </c:numRef>
          </c:val>
          <c:extLst>
            <c:ext xmlns:c16="http://schemas.microsoft.com/office/drawing/2014/chart" uri="{C3380CC4-5D6E-409C-BE32-E72D297353CC}">
              <c16:uniqueId val="{00000000-8C6E-418D-9F2B-8552E8FD9AF5}"/>
            </c:ext>
          </c:extLst>
        </c:ser>
        <c:dLbls>
          <c:showLegendKey val="0"/>
          <c:showVal val="1"/>
          <c:showCatName val="0"/>
          <c:showSerName val="0"/>
          <c:showPercent val="0"/>
          <c:showBubbleSize val="0"/>
        </c:dLbls>
        <c:gapWidth val="65"/>
        <c:axId val="648223568"/>
        <c:axId val="648224128"/>
      </c:barChart>
      <c:catAx>
        <c:axId val="6482235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el-GR"/>
          </a:p>
        </c:txPr>
        <c:crossAx val="648224128"/>
        <c:crosses val="autoZero"/>
        <c:auto val="1"/>
        <c:lblAlgn val="ctr"/>
        <c:lblOffset val="100"/>
        <c:noMultiLvlLbl val="0"/>
      </c:catAx>
      <c:valAx>
        <c:axId val="6482241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6482235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200"/>
              <a:t>Πιστώσεις 2021 ανά πηγή χρηματοδότησης, σε εκ. ευρώ</a:t>
            </a:r>
          </a:p>
          <a:p>
            <a:pPr>
              <a:defRPr/>
            </a:pPr>
            <a:endParaRPr lang="el-GR"/>
          </a:p>
        </c:rich>
      </c:tx>
      <c:overlay val="0"/>
      <c:spPr>
        <a:noFill/>
        <a:ln>
          <a:noFill/>
        </a:ln>
        <a:effectLst/>
      </c:spPr>
      <c:txPr>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endParaRPr lang="el-GR"/>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Φύλλο1!$A$2:$A$6</c:f>
              <c:strCache>
                <c:ptCount val="5"/>
                <c:pt idx="0">
                  <c:v>ΣΑΕ 014</c:v>
                </c:pt>
                <c:pt idx="1">
                  <c:v>ΣΑΕ 514</c:v>
                </c:pt>
                <c:pt idx="2">
                  <c:v>ΣΑΕ 814</c:v>
                </c:pt>
                <c:pt idx="3">
                  <c:v>ΣΑΜ 914</c:v>
                </c:pt>
                <c:pt idx="4">
                  <c:v>ΣΑΜ 014</c:v>
                </c:pt>
              </c:strCache>
            </c:strRef>
          </c:cat>
          <c:val>
            <c:numRef>
              <c:f>Φύλλο1!$B$2:$B$6</c:f>
              <c:numCache>
                <c:formatCode>#,##0.00</c:formatCode>
                <c:ptCount val="5"/>
                <c:pt idx="0">
                  <c:v>39.43</c:v>
                </c:pt>
                <c:pt idx="1">
                  <c:v>50.15</c:v>
                </c:pt>
                <c:pt idx="2">
                  <c:v>8.68</c:v>
                </c:pt>
                <c:pt idx="3" formatCode="General">
                  <c:v>5.63</c:v>
                </c:pt>
                <c:pt idx="4">
                  <c:v>2.56</c:v>
                </c:pt>
              </c:numCache>
            </c:numRef>
          </c:val>
          <c:extLst>
            <c:ext xmlns:c16="http://schemas.microsoft.com/office/drawing/2014/chart" uri="{C3380CC4-5D6E-409C-BE32-E72D297353CC}">
              <c16:uniqueId val="{00000000-1313-4556-9CA4-271984EC9CD2}"/>
            </c:ext>
          </c:extLst>
        </c:ser>
        <c:dLbls>
          <c:showLegendKey val="0"/>
          <c:showVal val="1"/>
          <c:showCatName val="0"/>
          <c:showSerName val="0"/>
          <c:showPercent val="0"/>
          <c:showBubbleSize val="0"/>
        </c:dLbls>
        <c:gapWidth val="65"/>
        <c:axId val="649952752"/>
        <c:axId val="649953312"/>
      </c:barChart>
      <c:catAx>
        <c:axId val="6499527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el-GR"/>
          </a:p>
        </c:txPr>
        <c:crossAx val="649953312"/>
        <c:crosses val="autoZero"/>
        <c:auto val="1"/>
        <c:lblAlgn val="ctr"/>
        <c:lblOffset val="100"/>
        <c:noMultiLvlLbl val="0"/>
      </c:catAx>
      <c:valAx>
        <c:axId val="649953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6499527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[Αντίγραφο του ΕΝΤΑΓΜΕΝΑ ΕΡΓΑ ΕΣΠΑ 2014-2020 - ΑΠΡΙΛΙΟΣ 9-4-2021.xlsx]ch3!Συγκεντρωτικός Πίνακας2</c:name>
    <c:fmtId val="-1"/>
  </c:pivotSource>
  <c:chart>
    <c:title>
      <c:tx>
        <c:rich>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r>
              <a:rPr lang="el-GR" b="1"/>
              <a:t>Δ.Δ</a:t>
            </a:r>
            <a:r>
              <a:rPr lang="el-GR" b="1" baseline="0"/>
              <a:t> ανά Επιχειρησιακό πρόγραμμα</a:t>
            </a:r>
            <a:endParaRPr lang="el-GR" b="1"/>
          </a:p>
        </c:rich>
      </c:tx>
      <c:overlay val="0"/>
      <c:spPr>
        <a:noFill/>
        <a:ln>
          <a:noFill/>
        </a:ln>
        <a:effectLst/>
      </c:spPr>
      <c:txPr>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bar"/>
        <c:grouping val="clustered"/>
        <c:varyColors val="0"/>
        <c:ser>
          <c:idx val="0"/>
          <c:order val="0"/>
          <c:tx>
            <c:strRef>
              <c:f>'ch3'!$B$3</c:f>
              <c:strCache>
                <c:ptCount val="1"/>
                <c:pt idx="0">
                  <c:v>Άθροισμα</c:v>
                </c:pt>
              </c:strCache>
            </c:strRef>
          </c:tx>
          <c:spPr>
            <a:solidFill>
              <a:schemeClr val="accent1"/>
            </a:solidFill>
            <a:ln>
              <a:noFill/>
            </a:ln>
            <a:effectLst/>
            <a:scene3d>
              <a:camera prst="orthographicFront"/>
              <a:lightRig rig="threePt" dir="t"/>
            </a:scene3d>
            <a:sp3d>
              <a:bevelT/>
            </a:sp3d>
          </c:spPr>
          <c:invertIfNegative val="0"/>
          <c:cat>
            <c:strRef>
              <c:f>'ch3'!$A$4:$A$29</c:f>
              <c:strCache>
                <c:ptCount val="25"/>
                <c:pt idx="0">
                  <c:v>INTERREG- MED</c:v>
                </c:pt>
                <c:pt idx="1">
                  <c:v>INTERREG V-A ΕΛΛΑΔΑ-ΚΥΠΡΟΣ</c:v>
                </c:pt>
                <c:pt idx="2">
                  <c:v>INTERREG V-B  BALKAN MEDITERRANEAN </c:v>
                </c:pt>
                <c:pt idx="3">
                  <c:v>INTERREG V-B Adriatic-Ionian ADRION</c:v>
                </c:pt>
                <c:pt idx="4">
                  <c:v>INTERREG ΕΛΛΑΔΑ - ΒΟΥΛΓΑΡΙΑ 2014 -2020</c:v>
                </c:pt>
                <c:pt idx="5">
                  <c:v>INTERREG ΕΛΛΑΔΑ - ΙΤΑΛΙΑ</c:v>
                </c:pt>
                <c:pt idx="6">
                  <c:v>INTERREG ΕΛΛΑΔΑ-FYROM </c:v>
                </c:pt>
                <c:pt idx="7">
                  <c:v>INTERREG ΕΛΛΑΔΑ-ΑΛΒΑΝΙΑ</c:v>
                </c:pt>
                <c:pt idx="8">
                  <c:v>ΑΝΑΠΤΥΞΗ ΑΝΘΡΩΠΙΝΟΥ ΔΥΝΑΜΙΚΟΥ ΕΚΠΑΙΔΕΥΣΗ ΚΑΙ ΔΙΑ ΒΙΟΥ ΜΑΘΗΣΗ</c:v>
                </c:pt>
                <c:pt idx="9">
                  <c:v>ΑΝΑΤΟΛΙΚΗ ΜΑΚΕΔΟΝΙΑ ΘΡΑΚΗ</c:v>
                </c:pt>
                <c:pt idx="10">
                  <c:v>ΑΝΤΑΓΩΝΙΣΤΙΚΟΤΗΤΑ ΕΠΙΧΕΙΡΗΜΑΤΙΚΟΤΗΤΑ ΚΑΙ ΚΑΙΝΟΤΟΜΙΑ</c:v>
                </c:pt>
                <c:pt idx="11">
                  <c:v>ΑΤΤΙΚΗ</c:v>
                </c:pt>
                <c:pt idx="12">
                  <c:v>ΒΟΡΕΙΟ ΑΙΓΑΙΟ</c:v>
                </c:pt>
                <c:pt idx="13">
                  <c:v>ΔΥΤΙΚΗ ΕΛΛΑΔΑ</c:v>
                </c:pt>
                <c:pt idx="14">
                  <c:v>ΔΥΤΙΚΗ ΜΑΚΕΔΟΝΙΑ</c:v>
                </c:pt>
                <c:pt idx="15">
                  <c:v>ΗΠΕΙΡΟΣ</c:v>
                </c:pt>
                <c:pt idx="16">
                  <c:v>ΘΕΣΣΑΛΙΑ</c:v>
                </c:pt>
                <c:pt idx="17">
                  <c:v>ΙΟΝΙΑ ΝΗΣΙΑ</c:v>
                </c:pt>
                <c:pt idx="18">
                  <c:v>ΚΕΝΤΡΙΚΗ ΜΑΚΕΔΟΝΙΑ</c:v>
                </c:pt>
                <c:pt idx="19">
                  <c:v>ΚΡΗΤΗ</c:v>
                </c:pt>
                <c:pt idx="20">
                  <c:v>ΜΕΤΑΡΡΥΘΜΙΣΗ ΔΗΜΟΣΙΟΥ ΤΟΜΕΑ</c:v>
                </c:pt>
                <c:pt idx="21">
                  <c:v>ΝΟΤΙΟ ΑΙΓΑΙΟ</c:v>
                </c:pt>
                <c:pt idx="22">
                  <c:v>ΠΕΛΟΠΟΝΝΗΣΟΣ</c:v>
                </c:pt>
                <c:pt idx="23">
                  <c:v>ΣΤΕΡΕΑ ΕΛΛΑΔΑ</c:v>
                </c:pt>
                <c:pt idx="24">
                  <c:v>ΥΠΟΔΟΜΕΣ ΜΕΤΑΦΟΡΩΝ, ΠΕΡΙΒΑΛΛΟΝ &amp; ΑΕΙΦΟΡΟΣ ΑΝΑΠΤΥΞΗ 2014-2020</c:v>
                </c:pt>
              </c:strCache>
            </c:strRef>
          </c:cat>
          <c:val>
            <c:numRef>
              <c:f>'ch3'!$B$4:$B$29</c:f>
              <c:numCache>
                <c:formatCode>#,##0.00\ "€"</c:formatCode>
                <c:ptCount val="25"/>
                <c:pt idx="0">
                  <c:v>140000</c:v>
                </c:pt>
                <c:pt idx="1">
                  <c:v>1628770</c:v>
                </c:pt>
                <c:pt idx="2">
                  <c:v>170060</c:v>
                </c:pt>
                <c:pt idx="3">
                  <c:v>172757.2</c:v>
                </c:pt>
                <c:pt idx="4">
                  <c:v>506000</c:v>
                </c:pt>
                <c:pt idx="5">
                  <c:v>5869946.7999999998</c:v>
                </c:pt>
                <c:pt idx="6">
                  <c:v>90577</c:v>
                </c:pt>
                <c:pt idx="7">
                  <c:v>994481.8</c:v>
                </c:pt>
                <c:pt idx="8">
                  <c:v>5751357.9199999999</c:v>
                </c:pt>
                <c:pt idx="9">
                  <c:v>33308816.449999999</c:v>
                </c:pt>
                <c:pt idx="10">
                  <c:v>54258835.149999999</c:v>
                </c:pt>
                <c:pt idx="11">
                  <c:v>42638887.090000004</c:v>
                </c:pt>
                <c:pt idx="12">
                  <c:v>20611367.5</c:v>
                </c:pt>
                <c:pt idx="13">
                  <c:v>6491524.0800000001</c:v>
                </c:pt>
                <c:pt idx="14">
                  <c:v>10172145.25</c:v>
                </c:pt>
                <c:pt idx="15">
                  <c:v>13239261.33</c:v>
                </c:pt>
                <c:pt idx="16">
                  <c:v>15195050</c:v>
                </c:pt>
                <c:pt idx="17">
                  <c:v>24144035.460000001</c:v>
                </c:pt>
                <c:pt idx="18">
                  <c:v>34665151.439999998</c:v>
                </c:pt>
                <c:pt idx="19">
                  <c:v>24597046.25</c:v>
                </c:pt>
                <c:pt idx="20">
                  <c:v>1396690.8</c:v>
                </c:pt>
                <c:pt idx="21">
                  <c:v>10028231.83</c:v>
                </c:pt>
                <c:pt idx="22">
                  <c:v>24290554.370000001</c:v>
                </c:pt>
                <c:pt idx="23">
                  <c:v>5216945.0199999996</c:v>
                </c:pt>
                <c:pt idx="24">
                  <c:v>5279940.57</c:v>
                </c:pt>
              </c:numCache>
            </c:numRef>
          </c:val>
          <c:extLst>
            <c:ext xmlns:c16="http://schemas.microsoft.com/office/drawing/2014/chart" uri="{C3380CC4-5D6E-409C-BE32-E72D297353CC}">
              <c16:uniqueId val="{00000000-318B-4047-99AE-EFDFB68D446F}"/>
            </c:ext>
          </c:extLst>
        </c:ser>
        <c:dLbls>
          <c:showLegendKey val="0"/>
          <c:showVal val="0"/>
          <c:showCatName val="0"/>
          <c:showSerName val="0"/>
          <c:showPercent val="0"/>
          <c:showBubbleSize val="0"/>
        </c:dLbls>
        <c:gapWidth val="150"/>
        <c:axId val="649955552"/>
        <c:axId val="649956112"/>
      </c:barChart>
      <c:catAx>
        <c:axId val="649955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600" b="0" i="0" u="none" strike="noStrike" kern="1200" baseline="0">
                <a:solidFill>
                  <a:schemeClr val="tx1">
                    <a:lumMod val="65000"/>
                    <a:lumOff val="35000"/>
                  </a:schemeClr>
                </a:solidFill>
                <a:latin typeface="+mn-lt"/>
                <a:ea typeface="+mn-ea"/>
                <a:cs typeface="+mn-cs"/>
              </a:defRPr>
            </a:pPr>
            <a:endParaRPr lang="el-GR"/>
          </a:p>
        </c:txPr>
        <c:crossAx val="649956112"/>
        <c:crosses val="autoZero"/>
        <c:auto val="1"/>
        <c:lblAlgn val="ctr"/>
        <c:lblOffset val="100"/>
        <c:noMultiLvlLbl val="0"/>
      </c:catAx>
      <c:valAx>
        <c:axId val="649956112"/>
        <c:scaling>
          <c:orientation val="minMax"/>
        </c:scaling>
        <c:delete val="0"/>
        <c:axPos val="b"/>
        <c:majorGridlines>
          <c:spPr>
            <a:ln w="9525" cap="flat" cmpd="sng" algn="ctr">
              <a:solidFill>
                <a:schemeClr val="tx1">
                  <a:lumMod val="15000"/>
                  <a:lumOff val="85000"/>
                </a:schemeClr>
              </a:solidFill>
              <a:round/>
            </a:ln>
            <a:effectLst/>
          </c:spPr>
        </c:majorGridlines>
        <c:numFmt formatCode="#,##0.00\ &quot;€&quot;" sourceLinked="1"/>
        <c:majorTickMark val="none"/>
        <c:minorTickMark val="none"/>
        <c:tickLblPos val="nextTo"/>
        <c:spPr>
          <a:noFill/>
          <a:ln>
            <a:noFill/>
          </a:ln>
          <a:effectLst/>
        </c:spPr>
        <c:txPr>
          <a:bodyPr rot="-6000000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endParaRPr lang="el-GR"/>
          </a:p>
        </c:txPr>
        <c:crossAx val="649955552"/>
        <c:crosses val="autoZero"/>
        <c:crossBetween val="between"/>
        <c:dispUnits>
          <c:builtInUnit val="millions"/>
          <c:dispUnitsLbl>
            <c:spPr>
              <a:noFill/>
              <a:ln>
                <a:noFill/>
              </a:ln>
              <a:effectLst/>
            </c:spPr>
            <c:txPr>
              <a:bodyPr rot="0" spcFirstLastPara="1" vertOverflow="ellipsis" vert="horz" wrap="square" anchor="ctr" anchorCtr="1">
                <a:spAutoFit/>
              </a:bodyPr>
              <a:lstStyle/>
              <a:p>
                <a:pPr>
                  <a:defRPr lang="en-US" sz="800" b="0" i="0" u="none" strike="noStrike" kern="1200" baseline="0">
                    <a:solidFill>
                      <a:schemeClr val="tx1">
                        <a:lumMod val="65000"/>
                        <a:lumOff val="35000"/>
                      </a:schemeClr>
                    </a:solidFill>
                    <a:latin typeface="+mn-lt"/>
                    <a:ea typeface="+mn-ea"/>
                    <a:cs typeface="+mn-cs"/>
                  </a:defRPr>
                </a:pPr>
                <a:endParaRPr lang="el-GR"/>
              </a:p>
            </c:txPr>
          </c:dispUnitsLbl>
        </c:dispUnits>
      </c:valAx>
      <c:spPr>
        <a:solidFill>
          <a:schemeClr val="accent1">
            <a:lumMod val="20000"/>
            <a:lumOff val="80000"/>
          </a:schemeClr>
        </a:solidFill>
        <a:ln>
          <a:noFill/>
        </a:ln>
        <a:effectLst>
          <a:outerShdw blurRad="76200" dir="13500000" sy="23000" kx="1200000" algn="br" rotWithShape="0">
            <a:prstClr val="black">
              <a:alpha val="20000"/>
            </a:prstClr>
          </a:outerShdw>
        </a:effectLst>
      </c:spPr>
    </c:plotArea>
    <c:plotVisOnly val="1"/>
    <c:dispBlanksAs val="gap"/>
    <c:showDLblsOverMax val="0"/>
  </c:chart>
  <c:spPr>
    <a:gradFill flip="none" rotWithShape="1">
      <a:gsLst>
        <a:gs pos="0">
          <a:schemeClr val="accent5">
            <a:lumMod val="5000"/>
            <a:lumOff val="95000"/>
          </a:schemeClr>
        </a:gs>
        <a:gs pos="57000">
          <a:schemeClr val="bg2">
            <a:lumMod val="95000"/>
          </a:schemeClr>
        </a:gs>
        <a:gs pos="83000">
          <a:schemeClr val="bg2">
            <a:lumMod val="85000"/>
          </a:schemeClr>
        </a:gs>
        <a:gs pos="100000">
          <a:schemeClr val="bg2">
            <a:lumMod val="75000"/>
          </a:schemeClr>
        </a:gs>
      </a:gsLst>
      <a:lin ang="5400000" scaled="1"/>
      <a:tileRect/>
    </a:gradFill>
    <a:ln w="9525" cap="flat" cmpd="sng" algn="ctr">
      <a:solidFill>
        <a:schemeClr val="tx1">
          <a:lumMod val="15000"/>
          <a:lumOff val="85000"/>
        </a:schemeClr>
      </a:solidFill>
      <a:round/>
    </a:ln>
    <a:effectLst/>
  </c:spPr>
  <c:txPr>
    <a:bodyPr/>
    <a:lstStyle/>
    <a:p>
      <a:pPr>
        <a:defRPr lang="en-US"/>
      </a:pPr>
      <a:endParaRPr lang="el-GR"/>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pivotSource>
    <c:name>[Αντίγραφο του ΕΝΤΑΓΜΕΝΑ ΕΡΓΑ ΕΣΠΑ 2014-2020 - ΑΠΡΙΛΙΟΣ 9-4-2021.xlsx]ch4!Συγκεντρωτικός Πίνακας1</c:name>
    <c:fmtId val="-1"/>
  </c:pivotSource>
  <c:chart>
    <c:title>
      <c:tx>
        <c:rich>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r>
              <a:rPr lang="el-GR" b="1"/>
              <a:t>Αριθμός έργων </a:t>
            </a:r>
            <a:r>
              <a:rPr lang="el-GR" b="1" baseline="0"/>
              <a:t>ανά Επιχειρησιακό πρόγραμμα</a:t>
            </a:r>
            <a:endParaRPr lang="el-GR" b="1"/>
          </a:p>
        </c:rich>
      </c:tx>
      <c:overlay val="0"/>
      <c:spPr>
        <a:noFill/>
        <a:ln>
          <a:noFill/>
        </a:ln>
        <a:effectLst/>
      </c:spPr>
      <c:txPr>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endParaRPr lang="el-GR"/>
        </a:p>
      </c:txPr>
    </c:title>
    <c:autoTitleDeleted val="0"/>
    <c:view3D>
      <c:rotX val="30"/>
      <c:hPercent val="80"/>
      <c:rotY val="0"/>
      <c:depthPercent val="140"/>
      <c:rAngAx val="0"/>
      <c:perspective val="20"/>
    </c:view3D>
    <c:floor>
      <c:thickness val="0"/>
      <c:spPr>
        <a:solidFill>
          <a:schemeClr val="accent1">
            <a:lumMod val="20000"/>
            <a:lumOff val="80000"/>
          </a:schemeClr>
        </a:solidFill>
        <a:ln>
          <a:noFill/>
        </a:ln>
        <a:effectLst>
          <a:outerShdw blurRad="50800" dist="38100" dir="2700000" algn="tl" rotWithShape="0">
            <a:prstClr val="black">
              <a:alpha val="40000"/>
            </a:prstClr>
          </a:outerShdw>
        </a:effectLst>
        <a:scene3d>
          <a:camera prst="orthographicFront"/>
          <a:lightRig rig="threePt" dir="t"/>
        </a:scene3d>
        <a:sp3d prstMaterial="matte">
          <a:bevelT/>
        </a:sp3d>
      </c:spPr>
    </c:floor>
    <c:sideWall>
      <c:thickness val="0"/>
      <c:spPr>
        <a:solidFill>
          <a:schemeClr val="accent1">
            <a:lumMod val="20000"/>
            <a:lumOff val="80000"/>
          </a:schemeClr>
        </a:solidFill>
        <a:ln>
          <a:noFill/>
        </a:ln>
        <a:effectLst>
          <a:outerShdw blurRad="76200" dir="13500000" sy="23000" kx="1200000" algn="br" rotWithShape="0">
            <a:prstClr val="black">
              <a:alpha val="20000"/>
            </a:prstClr>
          </a:outerShdw>
        </a:effectLst>
        <a:scene3d>
          <a:camera prst="orthographicFront"/>
          <a:lightRig rig="threePt" dir="t"/>
        </a:scene3d>
        <a:sp3d>
          <a:bevelB/>
        </a:sp3d>
      </c:spPr>
    </c:sideWall>
    <c:backWall>
      <c:thickness val="0"/>
      <c:spPr>
        <a:solidFill>
          <a:schemeClr val="accent1">
            <a:lumMod val="20000"/>
            <a:lumOff val="80000"/>
          </a:schemeClr>
        </a:solidFill>
        <a:ln>
          <a:noFill/>
        </a:ln>
        <a:effectLst>
          <a:outerShdw blurRad="76200" dir="13500000" sy="23000" kx="1200000" algn="br" rotWithShape="0">
            <a:prstClr val="black">
              <a:alpha val="20000"/>
            </a:prstClr>
          </a:outerShdw>
        </a:effectLst>
        <a:scene3d>
          <a:camera prst="orthographicFront"/>
          <a:lightRig rig="threePt" dir="t"/>
        </a:scene3d>
        <a:sp3d>
          <a:bevelB/>
        </a:sp3d>
      </c:spPr>
    </c:backWall>
    <c:plotArea>
      <c:layout>
        <c:manualLayout>
          <c:layoutTarget val="inner"/>
          <c:xMode val="edge"/>
          <c:yMode val="edge"/>
          <c:x val="2.3129066457724001E-2"/>
          <c:y val="6.3851706036745406E-2"/>
          <c:w val="0.97466256780074101"/>
          <c:h val="0.62899305555555596"/>
        </c:manualLayout>
      </c:layout>
      <c:pie3DChart>
        <c:varyColors val="1"/>
        <c:ser>
          <c:idx val="0"/>
          <c:order val="0"/>
          <c:tx>
            <c:strRef>
              <c:f>'ch4'!$B$3</c:f>
              <c:strCache>
                <c:ptCount val="1"/>
                <c:pt idx="0">
                  <c:v>Άθροισμα</c:v>
                </c:pt>
              </c:strCache>
            </c:strRef>
          </c:tx>
          <c:spPr>
            <a:scene3d>
              <a:camera prst="orthographicFront"/>
              <a:lightRig rig="threePt" dir="t"/>
            </a:scene3d>
            <a:sp3d>
              <a:bevelT/>
            </a:sp3d>
          </c:spPr>
          <c:dPt>
            <c:idx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1-AF83-49E2-BD17-821DE26FD6DA}"/>
              </c:ext>
            </c:extLst>
          </c:dPt>
          <c:dPt>
            <c:idx val="1"/>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03-AF83-49E2-BD17-821DE26FD6DA}"/>
              </c:ext>
            </c:extLst>
          </c:dPt>
          <c:dPt>
            <c:idx val="2"/>
            <c:bubble3D val="0"/>
            <c:spPr>
              <a:solidFill>
                <a:schemeClr val="accent3"/>
              </a:solidFill>
              <a:ln>
                <a:noFill/>
              </a:ln>
              <a:effectLst/>
              <a:scene3d>
                <a:camera prst="orthographicFront"/>
                <a:lightRig rig="threePt" dir="t"/>
              </a:scene3d>
              <a:sp3d>
                <a:bevelT/>
              </a:sp3d>
            </c:spPr>
            <c:extLst>
              <c:ext xmlns:c16="http://schemas.microsoft.com/office/drawing/2014/chart" uri="{C3380CC4-5D6E-409C-BE32-E72D297353CC}">
                <c16:uniqueId val="{00000005-AF83-49E2-BD17-821DE26FD6DA}"/>
              </c:ext>
            </c:extLst>
          </c:dPt>
          <c:dPt>
            <c:idx val="3"/>
            <c:bubble3D val="0"/>
            <c:spPr>
              <a:solidFill>
                <a:schemeClr val="accent4"/>
              </a:solidFill>
              <a:ln>
                <a:noFill/>
              </a:ln>
              <a:effectLst/>
              <a:scene3d>
                <a:camera prst="orthographicFront"/>
                <a:lightRig rig="threePt" dir="t"/>
              </a:scene3d>
              <a:sp3d>
                <a:bevelT/>
              </a:sp3d>
            </c:spPr>
            <c:extLst>
              <c:ext xmlns:c16="http://schemas.microsoft.com/office/drawing/2014/chart" uri="{C3380CC4-5D6E-409C-BE32-E72D297353CC}">
                <c16:uniqueId val="{00000007-AF83-49E2-BD17-821DE26FD6DA}"/>
              </c:ext>
            </c:extLst>
          </c:dPt>
          <c:dPt>
            <c:idx val="4"/>
            <c:bubble3D val="0"/>
            <c:spPr>
              <a:solidFill>
                <a:schemeClr val="accent5"/>
              </a:solidFill>
              <a:ln>
                <a:noFill/>
              </a:ln>
              <a:effectLst/>
              <a:scene3d>
                <a:camera prst="orthographicFront"/>
                <a:lightRig rig="threePt" dir="t"/>
              </a:scene3d>
              <a:sp3d>
                <a:bevelT/>
              </a:sp3d>
            </c:spPr>
            <c:extLst>
              <c:ext xmlns:c16="http://schemas.microsoft.com/office/drawing/2014/chart" uri="{C3380CC4-5D6E-409C-BE32-E72D297353CC}">
                <c16:uniqueId val="{00000009-AF83-49E2-BD17-821DE26FD6DA}"/>
              </c:ext>
            </c:extLst>
          </c:dPt>
          <c:dPt>
            <c:idx val="5"/>
            <c:bubble3D val="0"/>
            <c:spPr>
              <a:solidFill>
                <a:schemeClr val="accent6"/>
              </a:solidFill>
              <a:ln>
                <a:noFill/>
              </a:ln>
              <a:effectLst/>
              <a:scene3d>
                <a:camera prst="orthographicFront"/>
                <a:lightRig rig="threePt" dir="t"/>
              </a:scene3d>
              <a:sp3d>
                <a:bevelT/>
              </a:sp3d>
            </c:spPr>
            <c:extLst>
              <c:ext xmlns:c16="http://schemas.microsoft.com/office/drawing/2014/chart" uri="{C3380CC4-5D6E-409C-BE32-E72D297353CC}">
                <c16:uniqueId val="{0000000B-AF83-49E2-BD17-821DE26FD6DA}"/>
              </c:ext>
            </c:extLst>
          </c:dPt>
          <c:dPt>
            <c:idx val="6"/>
            <c:bubble3D val="0"/>
            <c:spPr>
              <a:solidFill>
                <a:schemeClr val="accent1">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0D-AF83-49E2-BD17-821DE26FD6DA}"/>
              </c:ext>
            </c:extLst>
          </c:dPt>
          <c:dPt>
            <c:idx val="7"/>
            <c:bubble3D val="0"/>
            <c:spPr>
              <a:solidFill>
                <a:schemeClr val="accent2">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0F-AF83-49E2-BD17-821DE26FD6DA}"/>
              </c:ext>
            </c:extLst>
          </c:dPt>
          <c:dPt>
            <c:idx val="8"/>
            <c:bubble3D val="0"/>
            <c:spPr>
              <a:solidFill>
                <a:schemeClr val="accent3">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11-AF83-49E2-BD17-821DE26FD6DA}"/>
              </c:ext>
            </c:extLst>
          </c:dPt>
          <c:dPt>
            <c:idx val="9"/>
            <c:bubble3D val="0"/>
            <c:spPr>
              <a:solidFill>
                <a:schemeClr val="accent4">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13-AF83-49E2-BD17-821DE26FD6DA}"/>
              </c:ext>
            </c:extLst>
          </c:dPt>
          <c:dPt>
            <c:idx val="10"/>
            <c:bubble3D val="0"/>
            <c:spPr>
              <a:solidFill>
                <a:schemeClr val="accent5">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15-AF83-49E2-BD17-821DE26FD6DA}"/>
              </c:ext>
            </c:extLst>
          </c:dPt>
          <c:dPt>
            <c:idx val="11"/>
            <c:bubble3D val="0"/>
            <c:spPr>
              <a:solidFill>
                <a:schemeClr val="accent6">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17-AF83-49E2-BD17-821DE26FD6DA}"/>
              </c:ext>
            </c:extLst>
          </c:dPt>
          <c:dPt>
            <c:idx val="12"/>
            <c:bubble3D val="0"/>
            <c:spPr>
              <a:solidFill>
                <a:schemeClr val="accent1">
                  <a:lumMod val="80000"/>
                  <a:lumOff val="20000"/>
                </a:schemeClr>
              </a:solidFill>
              <a:ln>
                <a:noFill/>
              </a:ln>
              <a:effectLst/>
              <a:scene3d>
                <a:camera prst="orthographicFront"/>
                <a:lightRig rig="threePt" dir="t"/>
              </a:scene3d>
              <a:sp3d>
                <a:bevelT/>
              </a:sp3d>
            </c:spPr>
            <c:extLst>
              <c:ext xmlns:c16="http://schemas.microsoft.com/office/drawing/2014/chart" uri="{C3380CC4-5D6E-409C-BE32-E72D297353CC}">
                <c16:uniqueId val="{00000019-AF83-49E2-BD17-821DE26FD6DA}"/>
              </c:ext>
            </c:extLst>
          </c:dPt>
          <c:dPt>
            <c:idx val="13"/>
            <c:bubble3D val="0"/>
            <c:spPr>
              <a:solidFill>
                <a:schemeClr val="accent2">
                  <a:lumMod val="80000"/>
                  <a:lumOff val="20000"/>
                </a:schemeClr>
              </a:solidFill>
              <a:ln>
                <a:noFill/>
              </a:ln>
              <a:effectLst/>
              <a:scene3d>
                <a:camera prst="orthographicFront"/>
                <a:lightRig rig="threePt" dir="t"/>
              </a:scene3d>
              <a:sp3d>
                <a:bevelT/>
              </a:sp3d>
            </c:spPr>
            <c:extLst>
              <c:ext xmlns:c16="http://schemas.microsoft.com/office/drawing/2014/chart" uri="{C3380CC4-5D6E-409C-BE32-E72D297353CC}">
                <c16:uniqueId val="{0000001B-AF83-49E2-BD17-821DE26FD6DA}"/>
              </c:ext>
            </c:extLst>
          </c:dPt>
          <c:dPt>
            <c:idx val="14"/>
            <c:bubble3D val="0"/>
            <c:spPr>
              <a:solidFill>
                <a:schemeClr val="accent3">
                  <a:lumMod val="80000"/>
                  <a:lumOff val="20000"/>
                </a:schemeClr>
              </a:solidFill>
              <a:ln>
                <a:noFill/>
              </a:ln>
              <a:effectLst/>
              <a:scene3d>
                <a:camera prst="orthographicFront"/>
                <a:lightRig rig="threePt" dir="t"/>
              </a:scene3d>
              <a:sp3d>
                <a:bevelT/>
              </a:sp3d>
            </c:spPr>
            <c:extLst>
              <c:ext xmlns:c16="http://schemas.microsoft.com/office/drawing/2014/chart" uri="{C3380CC4-5D6E-409C-BE32-E72D297353CC}">
                <c16:uniqueId val="{0000001D-AF83-49E2-BD17-821DE26FD6DA}"/>
              </c:ext>
            </c:extLst>
          </c:dPt>
          <c:dPt>
            <c:idx val="15"/>
            <c:bubble3D val="0"/>
            <c:spPr>
              <a:solidFill>
                <a:schemeClr val="accent4">
                  <a:lumMod val="80000"/>
                  <a:lumOff val="20000"/>
                </a:schemeClr>
              </a:solidFill>
              <a:ln>
                <a:noFill/>
              </a:ln>
              <a:effectLst/>
              <a:scene3d>
                <a:camera prst="orthographicFront"/>
                <a:lightRig rig="threePt" dir="t"/>
              </a:scene3d>
              <a:sp3d>
                <a:bevelT/>
              </a:sp3d>
            </c:spPr>
            <c:extLst>
              <c:ext xmlns:c16="http://schemas.microsoft.com/office/drawing/2014/chart" uri="{C3380CC4-5D6E-409C-BE32-E72D297353CC}">
                <c16:uniqueId val="{0000001F-AF83-49E2-BD17-821DE26FD6DA}"/>
              </c:ext>
            </c:extLst>
          </c:dPt>
          <c:dPt>
            <c:idx val="16"/>
            <c:bubble3D val="0"/>
            <c:spPr>
              <a:solidFill>
                <a:schemeClr val="accent5">
                  <a:lumMod val="80000"/>
                  <a:lumOff val="20000"/>
                </a:schemeClr>
              </a:solidFill>
              <a:ln>
                <a:noFill/>
              </a:ln>
              <a:effectLst/>
              <a:scene3d>
                <a:camera prst="orthographicFront"/>
                <a:lightRig rig="threePt" dir="t"/>
              </a:scene3d>
              <a:sp3d>
                <a:bevelT/>
              </a:sp3d>
            </c:spPr>
            <c:extLst>
              <c:ext xmlns:c16="http://schemas.microsoft.com/office/drawing/2014/chart" uri="{C3380CC4-5D6E-409C-BE32-E72D297353CC}">
                <c16:uniqueId val="{00000021-AF83-49E2-BD17-821DE26FD6DA}"/>
              </c:ext>
            </c:extLst>
          </c:dPt>
          <c:dPt>
            <c:idx val="17"/>
            <c:bubble3D val="0"/>
            <c:spPr>
              <a:solidFill>
                <a:schemeClr val="accent6">
                  <a:lumMod val="80000"/>
                  <a:lumOff val="20000"/>
                </a:schemeClr>
              </a:solidFill>
              <a:ln>
                <a:noFill/>
              </a:ln>
              <a:effectLst/>
              <a:scene3d>
                <a:camera prst="orthographicFront"/>
                <a:lightRig rig="threePt" dir="t"/>
              </a:scene3d>
              <a:sp3d>
                <a:bevelT/>
              </a:sp3d>
            </c:spPr>
            <c:extLst>
              <c:ext xmlns:c16="http://schemas.microsoft.com/office/drawing/2014/chart" uri="{C3380CC4-5D6E-409C-BE32-E72D297353CC}">
                <c16:uniqueId val="{00000023-AF83-49E2-BD17-821DE26FD6DA}"/>
              </c:ext>
            </c:extLst>
          </c:dPt>
          <c:dPt>
            <c:idx val="18"/>
            <c:bubble3D val="0"/>
            <c:spPr>
              <a:solidFill>
                <a:schemeClr val="accent1">
                  <a:lumMod val="80000"/>
                </a:schemeClr>
              </a:solidFill>
              <a:ln>
                <a:noFill/>
              </a:ln>
              <a:effectLst/>
              <a:scene3d>
                <a:camera prst="orthographicFront"/>
                <a:lightRig rig="threePt" dir="t"/>
              </a:scene3d>
              <a:sp3d>
                <a:bevelT/>
              </a:sp3d>
            </c:spPr>
            <c:extLst>
              <c:ext xmlns:c16="http://schemas.microsoft.com/office/drawing/2014/chart" uri="{C3380CC4-5D6E-409C-BE32-E72D297353CC}">
                <c16:uniqueId val="{00000025-AF83-49E2-BD17-821DE26FD6DA}"/>
              </c:ext>
            </c:extLst>
          </c:dPt>
          <c:dPt>
            <c:idx val="19"/>
            <c:bubble3D val="0"/>
            <c:spPr>
              <a:solidFill>
                <a:schemeClr val="accent2">
                  <a:lumMod val="80000"/>
                </a:schemeClr>
              </a:solidFill>
              <a:ln>
                <a:noFill/>
              </a:ln>
              <a:effectLst/>
              <a:scene3d>
                <a:camera prst="orthographicFront"/>
                <a:lightRig rig="threePt" dir="t"/>
              </a:scene3d>
              <a:sp3d>
                <a:bevelT/>
              </a:sp3d>
            </c:spPr>
            <c:extLst>
              <c:ext xmlns:c16="http://schemas.microsoft.com/office/drawing/2014/chart" uri="{C3380CC4-5D6E-409C-BE32-E72D297353CC}">
                <c16:uniqueId val="{00000027-AF83-49E2-BD17-821DE26FD6DA}"/>
              </c:ext>
            </c:extLst>
          </c:dPt>
          <c:dPt>
            <c:idx val="20"/>
            <c:bubble3D val="0"/>
            <c:spPr>
              <a:solidFill>
                <a:schemeClr val="accent3">
                  <a:lumMod val="80000"/>
                </a:schemeClr>
              </a:solidFill>
              <a:ln>
                <a:noFill/>
              </a:ln>
              <a:effectLst/>
              <a:scene3d>
                <a:camera prst="orthographicFront"/>
                <a:lightRig rig="threePt" dir="t"/>
              </a:scene3d>
              <a:sp3d>
                <a:bevelT/>
              </a:sp3d>
            </c:spPr>
            <c:extLst>
              <c:ext xmlns:c16="http://schemas.microsoft.com/office/drawing/2014/chart" uri="{C3380CC4-5D6E-409C-BE32-E72D297353CC}">
                <c16:uniqueId val="{00000029-AF83-49E2-BD17-821DE26FD6DA}"/>
              </c:ext>
            </c:extLst>
          </c:dPt>
          <c:dPt>
            <c:idx val="21"/>
            <c:bubble3D val="0"/>
            <c:spPr>
              <a:solidFill>
                <a:schemeClr val="accent4">
                  <a:lumMod val="80000"/>
                </a:schemeClr>
              </a:solidFill>
              <a:ln>
                <a:noFill/>
              </a:ln>
              <a:effectLst/>
              <a:scene3d>
                <a:camera prst="orthographicFront"/>
                <a:lightRig rig="threePt" dir="t"/>
              </a:scene3d>
              <a:sp3d>
                <a:bevelT/>
              </a:sp3d>
            </c:spPr>
            <c:extLst>
              <c:ext xmlns:c16="http://schemas.microsoft.com/office/drawing/2014/chart" uri="{C3380CC4-5D6E-409C-BE32-E72D297353CC}">
                <c16:uniqueId val="{0000002B-AF83-49E2-BD17-821DE26FD6DA}"/>
              </c:ext>
            </c:extLst>
          </c:dPt>
          <c:dPt>
            <c:idx val="22"/>
            <c:bubble3D val="0"/>
            <c:spPr>
              <a:solidFill>
                <a:schemeClr val="accent5">
                  <a:lumMod val="80000"/>
                </a:schemeClr>
              </a:solidFill>
              <a:ln>
                <a:noFill/>
              </a:ln>
              <a:effectLst/>
              <a:scene3d>
                <a:camera prst="orthographicFront"/>
                <a:lightRig rig="threePt" dir="t"/>
              </a:scene3d>
              <a:sp3d>
                <a:bevelT/>
              </a:sp3d>
            </c:spPr>
            <c:extLst>
              <c:ext xmlns:c16="http://schemas.microsoft.com/office/drawing/2014/chart" uri="{C3380CC4-5D6E-409C-BE32-E72D297353CC}">
                <c16:uniqueId val="{0000002D-AF83-49E2-BD17-821DE26FD6DA}"/>
              </c:ext>
            </c:extLst>
          </c:dPt>
          <c:dPt>
            <c:idx val="23"/>
            <c:bubble3D val="0"/>
            <c:spPr>
              <a:solidFill>
                <a:schemeClr val="accent6">
                  <a:lumMod val="80000"/>
                </a:schemeClr>
              </a:solidFill>
              <a:ln>
                <a:noFill/>
              </a:ln>
              <a:effectLst/>
              <a:scene3d>
                <a:camera prst="orthographicFront"/>
                <a:lightRig rig="threePt" dir="t"/>
              </a:scene3d>
              <a:sp3d>
                <a:bevelT/>
              </a:sp3d>
            </c:spPr>
            <c:extLst>
              <c:ext xmlns:c16="http://schemas.microsoft.com/office/drawing/2014/chart" uri="{C3380CC4-5D6E-409C-BE32-E72D297353CC}">
                <c16:uniqueId val="{0000002F-AF83-49E2-BD17-821DE26FD6DA}"/>
              </c:ext>
            </c:extLst>
          </c:dPt>
          <c:dPt>
            <c:idx val="24"/>
            <c:bubble3D val="0"/>
            <c:spPr>
              <a:solidFill>
                <a:schemeClr val="accent1">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31-AF83-49E2-BD17-821DE26FD6DA}"/>
              </c:ext>
            </c:extLst>
          </c:dPt>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solidFill>
                    <a:latin typeface="+mn-lt"/>
                    <a:ea typeface="+mn-ea"/>
                    <a:cs typeface="+mn-cs"/>
                  </a:defRPr>
                </a:pPr>
                <a:endParaRPr lang="el-GR"/>
              </a:p>
            </c:txPr>
            <c:dLblPos val="bestFit"/>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'ch4'!$A$4:$A$29</c:f>
              <c:strCache>
                <c:ptCount val="25"/>
                <c:pt idx="0">
                  <c:v>INTERREG- MED</c:v>
                </c:pt>
                <c:pt idx="1">
                  <c:v>INTERREG V-A ΕΛΛΑΔΑ-ΚΥΠΡΟΣ</c:v>
                </c:pt>
                <c:pt idx="2">
                  <c:v>INTERREG V-B  BALKAN MEDITERRANEAN </c:v>
                </c:pt>
                <c:pt idx="3">
                  <c:v>INTERREG V-B Adriatic-Ionian ADRION</c:v>
                </c:pt>
                <c:pt idx="4">
                  <c:v>INTERREG ΕΛΛΑΔΑ - ΒΟΥΛΓΑΡΙΑ 2014 -2020</c:v>
                </c:pt>
                <c:pt idx="5">
                  <c:v>INTERREG ΕΛΛΑΔΑ - ΙΤΑΛΙΑ</c:v>
                </c:pt>
                <c:pt idx="6">
                  <c:v>INTERREG ΕΛΛΑΔΑ-FYROM </c:v>
                </c:pt>
                <c:pt idx="7">
                  <c:v>INTERREG ΕΛΛΑΔΑ-ΑΛΒΑΝΙΑ</c:v>
                </c:pt>
                <c:pt idx="8">
                  <c:v>ΑΝΑΠΤΥΞΗ ΑΝΘΡΩΠΙΝΟΥ ΔΥΝΑΜΙΚΟΥ ΕΚΠΑΙΔΕΥΣΗ ΚΑΙ ΔΙΑ ΒΙΟΥ ΜΑΘΗΣΗ</c:v>
                </c:pt>
                <c:pt idx="9">
                  <c:v>ΑΝΑΤΟΛΙΚΗ ΜΑΚΕΔΟΝΙΑ ΘΡΑΚΗ</c:v>
                </c:pt>
                <c:pt idx="10">
                  <c:v>ΑΝΤΑΓΩΝΙΣΤΙΚΟΤΗΤΑ ΕΠΙΧΕΙΡΗΜΑΤΙΚΟΤΗΤΑ ΚΑΙ ΚΑΙΝΟΤΟΜΙΑ</c:v>
                </c:pt>
                <c:pt idx="11">
                  <c:v>ΑΤΤΙΚΗ</c:v>
                </c:pt>
                <c:pt idx="12">
                  <c:v>ΒΟΡΕΙΟ ΑΙΓΑΙΟ</c:v>
                </c:pt>
                <c:pt idx="13">
                  <c:v>ΔΥΤΙΚΗ ΕΛΛΑΔΑ</c:v>
                </c:pt>
                <c:pt idx="14">
                  <c:v>ΔΥΤΙΚΗ ΜΑΚΕΔΟΝΙΑ</c:v>
                </c:pt>
                <c:pt idx="15">
                  <c:v>ΗΠΕΙΡΟΣ</c:v>
                </c:pt>
                <c:pt idx="16">
                  <c:v>ΘΕΣΣΑΛΙΑ</c:v>
                </c:pt>
                <c:pt idx="17">
                  <c:v>ΙΟΝΙΑ ΝΗΣΙΑ</c:v>
                </c:pt>
                <c:pt idx="18">
                  <c:v>ΚΕΝΤΡΙΚΗ ΜΑΚΕΔΟΝΙΑ</c:v>
                </c:pt>
                <c:pt idx="19">
                  <c:v>ΚΡΗΤΗ</c:v>
                </c:pt>
                <c:pt idx="20">
                  <c:v>ΜΕΤΑΡΡΥΘΜΙΣΗ ΔΗΜΟΣΙΟΥ ΤΟΜΕΑ</c:v>
                </c:pt>
                <c:pt idx="21">
                  <c:v>ΝΟΤΙΟ ΑΙΓΑΙΟ</c:v>
                </c:pt>
                <c:pt idx="22">
                  <c:v>ΠΕΛΟΠΟΝΝΗΣΟΣ</c:v>
                </c:pt>
                <c:pt idx="23">
                  <c:v>ΣΤΕΡΕΑ ΕΛΛΑΔΑ</c:v>
                </c:pt>
                <c:pt idx="24">
                  <c:v>ΥΠΟΔΟΜΕΣ ΜΕΤΑΦΟΡΩΝ, ΠΕΡΙΒΑΛΛΟΝ &amp; ΑΕΙΦΟΡΟΣ ΑΝΑΠΤΥΞΗ 2014-2020</c:v>
                </c:pt>
              </c:strCache>
            </c:strRef>
          </c:cat>
          <c:val>
            <c:numRef>
              <c:f>'ch4'!$B$4:$B$29</c:f>
              <c:numCache>
                <c:formatCode>0</c:formatCode>
                <c:ptCount val="25"/>
                <c:pt idx="0">
                  <c:v>1</c:v>
                </c:pt>
                <c:pt idx="1">
                  <c:v>4</c:v>
                </c:pt>
                <c:pt idx="2">
                  <c:v>1</c:v>
                </c:pt>
                <c:pt idx="3">
                  <c:v>1</c:v>
                </c:pt>
                <c:pt idx="4">
                  <c:v>2</c:v>
                </c:pt>
                <c:pt idx="5">
                  <c:v>5</c:v>
                </c:pt>
                <c:pt idx="6">
                  <c:v>1</c:v>
                </c:pt>
                <c:pt idx="7">
                  <c:v>3</c:v>
                </c:pt>
                <c:pt idx="8">
                  <c:v>6</c:v>
                </c:pt>
                <c:pt idx="9">
                  <c:v>18</c:v>
                </c:pt>
                <c:pt idx="10">
                  <c:v>51</c:v>
                </c:pt>
                <c:pt idx="11">
                  <c:v>28</c:v>
                </c:pt>
                <c:pt idx="12">
                  <c:v>18</c:v>
                </c:pt>
                <c:pt idx="13">
                  <c:v>7</c:v>
                </c:pt>
                <c:pt idx="14">
                  <c:v>10</c:v>
                </c:pt>
                <c:pt idx="15">
                  <c:v>6</c:v>
                </c:pt>
                <c:pt idx="16">
                  <c:v>12</c:v>
                </c:pt>
                <c:pt idx="17">
                  <c:v>27</c:v>
                </c:pt>
                <c:pt idx="18">
                  <c:v>38</c:v>
                </c:pt>
                <c:pt idx="19">
                  <c:v>32</c:v>
                </c:pt>
                <c:pt idx="20">
                  <c:v>1</c:v>
                </c:pt>
                <c:pt idx="21">
                  <c:v>8</c:v>
                </c:pt>
                <c:pt idx="22">
                  <c:v>29</c:v>
                </c:pt>
                <c:pt idx="23">
                  <c:v>5</c:v>
                </c:pt>
                <c:pt idx="24">
                  <c:v>4</c:v>
                </c:pt>
              </c:numCache>
            </c:numRef>
          </c:val>
          <c:extLst>
            <c:ext xmlns:c16="http://schemas.microsoft.com/office/drawing/2014/chart" uri="{C3380CC4-5D6E-409C-BE32-E72D297353CC}">
              <c16:uniqueId val="{00000032-AF83-49E2-BD17-821DE26FD6DA}"/>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1.3921018493378E-2"/>
          <c:y val="0.70074967191601001"/>
          <c:w val="0.96777902762154699"/>
          <c:h val="0.28178313648294001"/>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gradFill flip="none" rotWithShape="1">
      <a:gsLst>
        <a:gs pos="0">
          <a:schemeClr val="accent5">
            <a:lumMod val="5000"/>
            <a:lumOff val="95000"/>
          </a:schemeClr>
        </a:gs>
        <a:gs pos="57000">
          <a:schemeClr val="bg2">
            <a:lumMod val="95000"/>
          </a:schemeClr>
        </a:gs>
        <a:gs pos="83000">
          <a:schemeClr val="bg2">
            <a:lumMod val="85000"/>
          </a:schemeClr>
        </a:gs>
        <a:gs pos="100000">
          <a:schemeClr val="bg2">
            <a:lumMod val="75000"/>
          </a:schemeClr>
        </a:gs>
      </a:gsLst>
      <a:lin ang="5400000" scaled="1"/>
      <a:tileRect/>
    </a:gradFill>
    <a:ln w="9525" cap="flat" cmpd="sng" algn="ctr">
      <a:solidFill>
        <a:schemeClr val="tx1">
          <a:lumMod val="15000"/>
          <a:lumOff val="85000"/>
        </a:schemeClr>
      </a:solidFill>
      <a:round/>
    </a:ln>
    <a:effectLst/>
  </c:spPr>
  <c:txPr>
    <a:bodyPr/>
    <a:lstStyle/>
    <a:p>
      <a:pPr>
        <a:defRPr lang="en-US"/>
      </a:pPr>
      <a:endParaRPr lang="el-G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pivotSource>
    <c:name>[Αντίγραφο του ΕΝΤΑΓΜΕΝΑ ΕΡΓΑ ΕΣΠΑ 2014-2020 - ΑΠΡΙΛΙΟΣ 9-4-2021.xlsx]ch1!Συγκεντρωτικός Πίνακας1</c:name>
    <c:fmtId val="-1"/>
  </c:pivotSource>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l-GR"/>
              <a:t>Συνολική</a:t>
            </a:r>
            <a:r>
              <a:rPr lang="el-GR" baseline="0"/>
              <a:t> Δ.Δ ανά Περιφέρεια</a:t>
            </a:r>
            <a:endParaRPr lang="el-G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tx>
            <c:strRef>
              <c:f>'ch1'!$B$3</c:f>
              <c:strCache>
                <c:ptCount val="1"/>
                <c:pt idx="0">
                  <c:v>Άθροισμα</c:v>
                </c:pt>
              </c:strCache>
            </c:strRef>
          </c:tx>
          <c:spPr>
            <a:solidFill>
              <a:schemeClr val="accent1"/>
            </a:solidFill>
            <a:ln>
              <a:noFill/>
            </a:ln>
            <a:effectLst/>
            <a:scene3d>
              <a:camera prst="orthographicFront"/>
              <a:lightRig rig="threePt" dir="t"/>
            </a:scene3d>
            <a:sp3d>
              <a:bevelT/>
            </a:sp3d>
          </c:spPr>
          <c:invertIfNegative val="0"/>
          <c:cat>
            <c:strRef>
              <c:f>'ch1'!$A$4:$A$18</c:f>
              <c:strCache>
                <c:ptCount val="14"/>
                <c:pt idx="0">
                  <c:v>ΑΝΑΤΟΛΙΚΗΣ ΜΑΚΕΔΟΝΙΑΣ ΘΡΑΚΗΣ</c:v>
                </c:pt>
                <c:pt idx="1">
                  <c:v>ΑΤΤΙΚΗΣ</c:v>
                </c:pt>
                <c:pt idx="2">
                  <c:v>ΒΟΡΕΙΟΥ ΑΙΓΑΙΟΥ</c:v>
                </c:pt>
                <c:pt idx="3">
                  <c:v>ΔΥΤΙΚΗΣ ΕΛΛΑΔΑΣ</c:v>
                </c:pt>
                <c:pt idx="4">
                  <c:v>ΔΥΤΙΚΗΣ ΜΑΚΕΔΟΝΙΑΣ</c:v>
                </c:pt>
                <c:pt idx="5">
                  <c:v>ΗΠΕΙΡΟΥ</c:v>
                </c:pt>
                <c:pt idx="6">
                  <c:v>ΘΕΣΣΑΛΙΑΣ</c:v>
                </c:pt>
                <c:pt idx="7">
                  <c:v>ΙΟΝΙΩΝ ΝΗΣΩΝ</c:v>
                </c:pt>
                <c:pt idx="8">
                  <c:v>ΚΕΝΤΡΙΚΗΣ ΜΑΚΕΔΟΝΙΑΣ</c:v>
                </c:pt>
                <c:pt idx="9">
                  <c:v>ΚΡΗΤΗΣ</c:v>
                </c:pt>
                <c:pt idx="10">
                  <c:v>ΝΟΤΙΟΥ ΑΙΓΑΙΟΥ</c:v>
                </c:pt>
                <c:pt idx="11">
                  <c:v>ΟΡΙΖΟΝΤΙΕΣ ΔΡΑΣΕΙΣ</c:v>
                </c:pt>
                <c:pt idx="12">
                  <c:v>ΠΕΛΟΠΟΝΝΗΣΟΥ</c:v>
                </c:pt>
                <c:pt idx="13">
                  <c:v>ΣΤΕΡΕΑΣ ΕΛΛΑΔΑΣ</c:v>
                </c:pt>
              </c:strCache>
            </c:strRef>
          </c:cat>
          <c:val>
            <c:numRef>
              <c:f>'ch1'!$B$4:$B$18</c:f>
              <c:numCache>
                <c:formatCode>#,##0.00\ "€"</c:formatCode>
                <c:ptCount val="14"/>
                <c:pt idx="0">
                  <c:v>36394084.539999999</c:v>
                </c:pt>
                <c:pt idx="1">
                  <c:v>55051701.939999998</c:v>
                </c:pt>
                <c:pt idx="2">
                  <c:v>21522227.5</c:v>
                </c:pt>
                <c:pt idx="3">
                  <c:v>15268255.16</c:v>
                </c:pt>
                <c:pt idx="4">
                  <c:v>10832122.25</c:v>
                </c:pt>
                <c:pt idx="5">
                  <c:v>14956884.33</c:v>
                </c:pt>
                <c:pt idx="6">
                  <c:v>16235050</c:v>
                </c:pt>
                <c:pt idx="7">
                  <c:v>24887824.960000001</c:v>
                </c:pt>
                <c:pt idx="8">
                  <c:v>49422399.350000001</c:v>
                </c:pt>
                <c:pt idx="9">
                  <c:v>24790786.25</c:v>
                </c:pt>
                <c:pt idx="10">
                  <c:v>16846024.329999998</c:v>
                </c:pt>
                <c:pt idx="11">
                  <c:v>18451357.449999999</c:v>
                </c:pt>
                <c:pt idx="12">
                  <c:v>30679010.23</c:v>
                </c:pt>
                <c:pt idx="13">
                  <c:v>5520705.0199999996</c:v>
                </c:pt>
              </c:numCache>
            </c:numRef>
          </c:val>
          <c:extLst>
            <c:ext xmlns:c16="http://schemas.microsoft.com/office/drawing/2014/chart" uri="{C3380CC4-5D6E-409C-BE32-E72D297353CC}">
              <c16:uniqueId val="{00000000-2DC3-4918-A00C-2847E575FD19}"/>
            </c:ext>
          </c:extLst>
        </c:ser>
        <c:dLbls>
          <c:showLegendKey val="0"/>
          <c:showVal val="0"/>
          <c:showCatName val="0"/>
          <c:showSerName val="0"/>
          <c:showPercent val="0"/>
          <c:showBubbleSize val="0"/>
        </c:dLbls>
        <c:gapWidth val="150"/>
        <c:axId val="650607568"/>
        <c:axId val="650608128"/>
      </c:barChart>
      <c:catAx>
        <c:axId val="650607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endParaRPr lang="el-GR"/>
          </a:p>
        </c:txPr>
        <c:crossAx val="650608128"/>
        <c:crosses val="autoZero"/>
        <c:auto val="1"/>
        <c:lblAlgn val="ctr"/>
        <c:lblOffset val="100"/>
        <c:noMultiLvlLbl val="0"/>
      </c:catAx>
      <c:valAx>
        <c:axId val="650608128"/>
        <c:scaling>
          <c:orientation val="minMax"/>
        </c:scaling>
        <c:delete val="0"/>
        <c:axPos val="l"/>
        <c:majorGridlines>
          <c:spPr>
            <a:ln w="9525" cap="flat" cmpd="sng" algn="ctr">
              <a:solidFill>
                <a:schemeClr val="tx1">
                  <a:lumMod val="15000"/>
                  <a:lumOff val="85000"/>
                </a:schemeClr>
              </a:solidFill>
              <a:round/>
            </a:ln>
            <a:effectLst/>
          </c:spPr>
        </c:majorGridlines>
        <c:numFmt formatCode="#,##0.00\ &quot;€&quot;" sourceLinked="1"/>
        <c:majorTickMark val="none"/>
        <c:minorTickMark val="none"/>
        <c:tickLblPos val="nextTo"/>
        <c:spPr>
          <a:noFill/>
          <a:ln>
            <a:noFill/>
          </a:ln>
          <a:effectLst/>
        </c:spPr>
        <c:txPr>
          <a:bodyPr rot="-6000000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endParaRPr lang="el-GR"/>
          </a:p>
        </c:txPr>
        <c:crossAx val="650607568"/>
        <c:crosses val="autoZero"/>
        <c:crossBetween val="between"/>
        <c:dispUnits>
          <c:builtInUnit val="millions"/>
          <c:dispUnitsLbl>
            <c:spPr>
              <a:noFill/>
              <a:ln>
                <a:noFill/>
              </a:ln>
              <a:effectLst/>
            </c:spPr>
            <c:txPr>
              <a:bodyPr rot="-5400000" spcFirstLastPara="1" vertOverflow="ellipsis" vert="horz" wrap="square" anchor="ctr" anchorCtr="1">
                <a:spAutoFit/>
              </a:bodyPr>
              <a:lstStyle/>
              <a:p>
                <a:pPr>
                  <a:defRPr lang="en-US" sz="800" b="0" i="0" u="none" strike="noStrike" kern="1200" baseline="0">
                    <a:solidFill>
                      <a:schemeClr val="tx1">
                        <a:lumMod val="65000"/>
                        <a:lumOff val="35000"/>
                      </a:schemeClr>
                    </a:solidFill>
                    <a:latin typeface="+mn-lt"/>
                    <a:ea typeface="+mn-ea"/>
                    <a:cs typeface="+mn-cs"/>
                  </a:defRPr>
                </a:pPr>
                <a:endParaRPr lang="el-GR"/>
              </a:p>
            </c:txPr>
          </c:dispUnitsLbl>
        </c:dispUnits>
      </c:valAx>
      <c:spPr>
        <a:solidFill>
          <a:schemeClr val="accent1">
            <a:lumMod val="20000"/>
            <a:lumOff val="80000"/>
          </a:schemeClr>
        </a:solidFill>
        <a:ln>
          <a:noFill/>
        </a:ln>
        <a:effectLst>
          <a:outerShdw blurRad="76200" dir="13500000" sy="23000" kx="1200000" algn="br" rotWithShape="0">
            <a:prstClr val="black">
              <a:alpha val="20000"/>
            </a:prstClr>
          </a:outerShdw>
        </a:effectLst>
      </c:spPr>
    </c:plotArea>
    <c:plotVisOnly val="1"/>
    <c:dispBlanksAs val="gap"/>
    <c:showDLblsOverMax val="0"/>
  </c:chart>
  <c:spPr>
    <a:gradFill flip="none" rotWithShape="1">
      <a:gsLst>
        <a:gs pos="0">
          <a:schemeClr val="accent5">
            <a:lumMod val="5000"/>
            <a:lumOff val="95000"/>
          </a:schemeClr>
        </a:gs>
        <a:gs pos="57000">
          <a:schemeClr val="bg2">
            <a:lumMod val="95000"/>
          </a:schemeClr>
        </a:gs>
        <a:gs pos="83000">
          <a:schemeClr val="bg2">
            <a:lumMod val="85000"/>
          </a:schemeClr>
        </a:gs>
        <a:gs pos="100000">
          <a:schemeClr val="bg2">
            <a:lumMod val="75000"/>
          </a:schemeClr>
        </a:gs>
      </a:gsLst>
      <a:lin ang="5400000" scaled="1"/>
      <a:tileRect/>
    </a:gradFill>
    <a:ln w="9525" cap="flat" cmpd="sng" algn="ctr">
      <a:solidFill>
        <a:schemeClr val="tx1">
          <a:lumMod val="15000"/>
          <a:lumOff val="85000"/>
        </a:schemeClr>
      </a:solidFill>
      <a:round/>
    </a:ln>
    <a:effectLst/>
  </c:spPr>
  <c:txPr>
    <a:bodyPr/>
    <a:lstStyle/>
    <a:p>
      <a:pPr>
        <a:defRPr lang="en-US"/>
      </a:pPr>
      <a:endParaRPr lang="el-G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pivotSource>
    <c:name>[Αντίγραφο του ΕΝΤΑΓΜΕΝΑ ΕΡΓΑ ΕΣΠΑ 2014-2020 - ΑΠΡΙΛΙΟΣ 9-4-2021.xlsx]ch2!Συγκεντρωτικός Πίνακας1</c:name>
    <c:fmtId val="-1"/>
  </c:pivotSource>
  <c:chart>
    <c:title>
      <c:tx>
        <c:rich>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r>
              <a:rPr lang="el-GR" b="1"/>
              <a:t>Αριθμός έργων </a:t>
            </a:r>
            <a:r>
              <a:rPr lang="el-GR" b="1" baseline="0"/>
              <a:t>ανά Περιφέρεια</a:t>
            </a:r>
            <a:endParaRPr lang="el-GR" b="1"/>
          </a:p>
        </c:rich>
      </c:tx>
      <c:overlay val="0"/>
      <c:spPr>
        <a:noFill/>
        <a:ln>
          <a:noFill/>
        </a:ln>
        <a:effectLst/>
      </c:spPr>
      <c:txPr>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endParaRPr lang="el-GR"/>
        </a:p>
      </c:txPr>
    </c:title>
    <c:autoTitleDeleted val="0"/>
    <c:view3D>
      <c:rotX val="30"/>
      <c:hPercent val="50"/>
      <c:rotY val="0"/>
      <c:depthPercent val="200"/>
      <c:rAngAx val="1"/>
    </c:view3D>
    <c:floor>
      <c:thickness val="0"/>
      <c:spPr>
        <a:solidFill>
          <a:schemeClr val="accent1">
            <a:lumMod val="20000"/>
            <a:lumOff val="80000"/>
          </a:schemeClr>
        </a:solidFill>
        <a:ln>
          <a:noFill/>
        </a:ln>
        <a:effectLst>
          <a:outerShdw blurRad="50800" dist="38100" dir="2700000" algn="tl" rotWithShape="0">
            <a:prstClr val="black">
              <a:alpha val="40000"/>
            </a:prstClr>
          </a:outerShdw>
        </a:effectLst>
        <a:scene3d>
          <a:camera prst="orthographicFront"/>
          <a:lightRig rig="threePt" dir="t"/>
        </a:scene3d>
        <a:sp3d prstMaterial="matte">
          <a:bevelT/>
        </a:sp3d>
      </c:spPr>
    </c:floor>
    <c:sideWall>
      <c:thickness val="0"/>
      <c:spPr>
        <a:solidFill>
          <a:schemeClr val="accent1">
            <a:lumMod val="20000"/>
            <a:lumOff val="80000"/>
          </a:schemeClr>
        </a:solidFill>
        <a:ln>
          <a:noFill/>
        </a:ln>
        <a:effectLst>
          <a:outerShdw blurRad="76200" dir="13500000" sy="23000" kx="1200000" algn="br" rotWithShape="0">
            <a:prstClr val="black">
              <a:alpha val="20000"/>
            </a:prstClr>
          </a:outerShdw>
        </a:effectLst>
        <a:scene3d>
          <a:camera prst="orthographicFront"/>
          <a:lightRig rig="threePt" dir="t"/>
        </a:scene3d>
        <a:sp3d>
          <a:bevelB/>
        </a:sp3d>
      </c:spPr>
    </c:sideWall>
    <c:backWall>
      <c:thickness val="0"/>
      <c:spPr>
        <a:solidFill>
          <a:schemeClr val="accent1">
            <a:lumMod val="20000"/>
            <a:lumOff val="80000"/>
          </a:schemeClr>
        </a:solidFill>
        <a:ln>
          <a:noFill/>
        </a:ln>
        <a:effectLst>
          <a:outerShdw blurRad="76200" dir="13500000" sy="23000" kx="1200000" algn="br" rotWithShape="0">
            <a:prstClr val="black">
              <a:alpha val="20000"/>
            </a:prstClr>
          </a:outerShdw>
        </a:effectLst>
        <a:scene3d>
          <a:camera prst="orthographicFront"/>
          <a:lightRig rig="threePt" dir="t"/>
        </a:scene3d>
        <a:sp3d>
          <a:bevelB/>
        </a:sp3d>
      </c:spPr>
    </c:backWall>
    <c:plotArea>
      <c:layout>
        <c:manualLayout>
          <c:layoutTarget val="inner"/>
          <c:xMode val="edge"/>
          <c:yMode val="edge"/>
          <c:x val="1.87123161328972E-2"/>
          <c:y val="0.15065731412394401"/>
          <c:w val="0.98128768386710297"/>
          <c:h val="0.63246524315464903"/>
        </c:manualLayout>
      </c:layout>
      <c:pie3DChart>
        <c:varyColors val="1"/>
        <c:ser>
          <c:idx val="0"/>
          <c:order val="0"/>
          <c:tx>
            <c:strRef>
              <c:f>'ch2'!$B$3</c:f>
              <c:strCache>
                <c:ptCount val="1"/>
                <c:pt idx="0">
                  <c:v>Άθροισμα</c:v>
                </c:pt>
              </c:strCache>
            </c:strRef>
          </c:tx>
          <c:spPr>
            <a:scene3d>
              <a:camera prst="orthographicFront"/>
              <a:lightRig rig="threePt" dir="t"/>
            </a:scene3d>
            <a:sp3d>
              <a:bevelT/>
            </a:sp3d>
          </c:spPr>
          <c:dPt>
            <c:idx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1-95F8-43BA-9EC1-F4094004C717}"/>
              </c:ext>
            </c:extLst>
          </c:dPt>
          <c:dPt>
            <c:idx val="1"/>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03-95F8-43BA-9EC1-F4094004C717}"/>
              </c:ext>
            </c:extLst>
          </c:dPt>
          <c:dPt>
            <c:idx val="2"/>
            <c:bubble3D val="0"/>
            <c:spPr>
              <a:solidFill>
                <a:schemeClr val="accent3"/>
              </a:solidFill>
              <a:ln>
                <a:noFill/>
              </a:ln>
              <a:effectLst/>
              <a:scene3d>
                <a:camera prst="orthographicFront"/>
                <a:lightRig rig="threePt" dir="t"/>
              </a:scene3d>
              <a:sp3d>
                <a:bevelT/>
              </a:sp3d>
            </c:spPr>
            <c:extLst>
              <c:ext xmlns:c16="http://schemas.microsoft.com/office/drawing/2014/chart" uri="{C3380CC4-5D6E-409C-BE32-E72D297353CC}">
                <c16:uniqueId val="{00000005-95F8-43BA-9EC1-F4094004C717}"/>
              </c:ext>
            </c:extLst>
          </c:dPt>
          <c:dPt>
            <c:idx val="3"/>
            <c:bubble3D val="0"/>
            <c:spPr>
              <a:solidFill>
                <a:schemeClr val="accent4"/>
              </a:solidFill>
              <a:ln>
                <a:noFill/>
              </a:ln>
              <a:effectLst/>
              <a:scene3d>
                <a:camera prst="orthographicFront"/>
                <a:lightRig rig="threePt" dir="t"/>
              </a:scene3d>
              <a:sp3d>
                <a:bevelT/>
              </a:sp3d>
            </c:spPr>
            <c:extLst>
              <c:ext xmlns:c16="http://schemas.microsoft.com/office/drawing/2014/chart" uri="{C3380CC4-5D6E-409C-BE32-E72D297353CC}">
                <c16:uniqueId val="{00000007-95F8-43BA-9EC1-F4094004C717}"/>
              </c:ext>
            </c:extLst>
          </c:dPt>
          <c:dPt>
            <c:idx val="4"/>
            <c:bubble3D val="0"/>
            <c:spPr>
              <a:solidFill>
                <a:schemeClr val="accent5"/>
              </a:solidFill>
              <a:ln>
                <a:noFill/>
              </a:ln>
              <a:effectLst/>
              <a:scene3d>
                <a:camera prst="orthographicFront"/>
                <a:lightRig rig="threePt" dir="t"/>
              </a:scene3d>
              <a:sp3d>
                <a:bevelT/>
              </a:sp3d>
            </c:spPr>
            <c:extLst>
              <c:ext xmlns:c16="http://schemas.microsoft.com/office/drawing/2014/chart" uri="{C3380CC4-5D6E-409C-BE32-E72D297353CC}">
                <c16:uniqueId val="{00000009-95F8-43BA-9EC1-F4094004C717}"/>
              </c:ext>
            </c:extLst>
          </c:dPt>
          <c:dPt>
            <c:idx val="5"/>
            <c:bubble3D val="0"/>
            <c:spPr>
              <a:solidFill>
                <a:schemeClr val="accent6"/>
              </a:solidFill>
              <a:ln>
                <a:noFill/>
              </a:ln>
              <a:effectLst/>
              <a:scene3d>
                <a:camera prst="orthographicFront"/>
                <a:lightRig rig="threePt" dir="t"/>
              </a:scene3d>
              <a:sp3d>
                <a:bevelT/>
              </a:sp3d>
            </c:spPr>
            <c:extLst>
              <c:ext xmlns:c16="http://schemas.microsoft.com/office/drawing/2014/chart" uri="{C3380CC4-5D6E-409C-BE32-E72D297353CC}">
                <c16:uniqueId val="{0000000B-95F8-43BA-9EC1-F4094004C717}"/>
              </c:ext>
            </c:extLst>
          </c:dPt>
          <c:dPt>
            <c:idx val="6"/>
            <c:bubble3D val="0"/>
            <c:spPr>
              <a:solidFill>
                <a:schemeClr val="accent1">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0D-95F8-43BA-9EC1-F4094004C717}"/>
              </c:ext>
            </c:extLst>
          </c:dPt>
          <c:dPt>
            <c:idx val="7"/>
            <c:bubble3D val="0"/>
            <c:spPr>
              <a:solidFill>
                <a:schemeClr val="accent2">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0F-95F8-43BA-9EC1-F4094004C717}"/>
              </c:ext>
            </c:extLst>
          </c:dPt>
          <c:dPt>
            <c:idx val="8"/>
            <c:bubble3D val="0"/>
            <c:spPr>
              <a:solidFill>
                <a:schemeClr val="accent3">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11-95F8-43BA-9EC1-F4094004C717}"/>
              </c:ext>
            </c:extLst>
          </c:dPt>
          <c:dPt>
            <c:idx val="9"/>
            <c:bubble3D val="0"/>
            <c:spPr>
              <a:solidFill>
                <a:schemeClr val="accent4">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13-95F8-43BA-9EC1-F4094004C717}"/>
              </c:ext>
            </c:extLst>
          </c:dPt>
          <c:dPt>
            <c:idx val="10"/>
            <c:bubble3D val="0"/>
            <c:spPr>
              <a:solidFill>
                <a:schemeClr val="accent5">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15-95F8-43BA-9EC1-F4094004C717}"/>
              </c:ext>
            </c:extLst>
          </c:dPt>
          <c:dPt>
            <c:idx val="11"/>
            <c:bubble3D val="0"/>
            <c:spPr>
              <a:solidFill>
                <a:schemeClr val="accent6">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17-95F8-43BA-9EC1-F4094004C717}"/>
              </c:ext>
            </c:extLst>
          </c:dPt>
          <c:dPt>
            <c:idx val="12"/>
            <c:bubble3D val="0"/>
            <c:spPr>
              <a:solidFill>
                <a:schemeClr val="accent1">
                  <a:lumMod val="80000"/>
                  <a:lumOff val="20000"/>
                </a:schemeClr>
              </a:solidFill>
              <a:ln>
                <a:noFill/>
              </a:ln>
              <a:effectLst/>
              <a:scene3d>
                <a:camera prst="orthographicFront"/>
                <a:lightRig rig="threePt" dir="t"/>
              </a:scene3d>
              <a:sp3d>
                <a:bevelT/>
              </a:sp3d>
            </c:spPr>
            <c:extLst>
              <c:ext xmlns:c16="http://schemas.microsoft.com/office/drawing/2014/chart" uri="{C3380CC4-5D6E-409C-BE32-E72D297353CC}">
                <c16:uniqueId val="{00000019-95F8-43BA-9EC1-F4094004C717}"/>
              </c:ext>
            </c:extLst>
          </c:dPt>
          <c:dPt>
            <c:idx val="13"/>
            <c:bubble3D val="0"/>
            <c:spPr>
              <a:solidFill>
                <a:schemeClr val="accent2">
                  <a:lumMod val="80000"/>
                  <a:lumOff val="20000"/>
                </a:schemeClr>
              </a:solidFill>
              <a:ln>
                <a:noFill/>
              </a:ln>
              <a:effectLst/>
              <a:scene3d>
                <a:camera prst="orthographicFront"/>
                <a:lightRig rig="threePt" dir="t"/>
              </a:scene3d>
              <a:sp3d>
                <a:bevelT/>
              </a:sp3d>
            </c:spPr>
            <c:extLst>
              <c:ext xmlns:c16="http://schemas.microsoft.com/office/drawing/2014/chart" uri="{C3380CC4-5D6E-409C-BE32-E72D297353CC}">
                <c16:uniqueId val="{0000001B-95F8-43BA-9EC1-F4094004C717}"/>
              </c:ext>
            </c:extLst>
          </c:dPt>
          <c:dLbls>
            <c:spPr>
              <a:noFill/>
              <a:ln>
                <a:noFill/>
              </a:ln>
              <a:effectLst/>
            </c:spPr>
            <c:txPr>
              <a:bodyPr rot="0" spcFirstLastPara="1" vertOverflow="ellipsis" vert="horz" wrap="square" lIns="38100" tIns="19050" rIns="38100" bIns="19050" anchor="ctr" anchorCtr="1">
                <a:spAutoFit/>
              </a:bodyPr>
              <a:lstStyle/>
              <a:p>
                <a:pPr>
                  <a:defRPr lang="en-US" sz="1050" b="1" i="0" u="none" strike="noStrike" kern="1200" baseline="0">
                    <a:solidFill>
                      <a:schemeClr val="bg1"/>
                    </a:solidFill>
                    <a:latin typeface="+mn-lt"/>
                    <a:ea typeface="+mn-ea"/>
                    <a:cs typeface="+mn-cs"/>
                  </a:defRPr>
                </a:pPr>
                <a:endParaRPr lang="el-GR"/>
              </a:p>
            </c:txPr>
            <c:dLblPos val="bestFit"/>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'ch2'!$A$4:$A$18</c:f>
              <c:strCache>
                <c:ptCount val="14"/>
                <c:pt idx="0">
                  <c:v>ΑΝΑΤΟΛΙΚΗΣ ΜΑΚΕΔΟΝΙΑΣ ΘΡΑΚΗΣ</c:v>
                </c:pt>
                <c:pt idx="1">
                  <c:v>ΑΤΤΙΚΗΣ</c:v>
                </c:pt>
                <c:pt idx="2">
                  <c:v>ΒΟΡΕΙΟΥ ΑΙΓΑΙΟΥ</c:v>
                </c:pt>
                <c:pt idx="3">
                  <c:v>ΔΥΤΙΚΗΣ ΕΛΛΑΔΑΣ</c:v>
                </c:pt>
                <c:pt idx="4">
                  <c:v>ΔΥΤΙΚΗΣ ΜΑΚΕΔΟΝΙΑΣ</c:v>
                </c:pt>
                <c:pt idx="5">
                  <c:v>ΗΠΕΙΡΟΥ</c:v>
                </c:pt>
                <c:pt idx="6">
                  <c:v>ΘΕΣΣΑΛΙΑΣ</c:v>
                </c:pt>
                <c:pt idx="7">
                  <c:v>ΙΟΝΙΩΝ ΝΗΣΩΝ</c:v>
                </c:pt>
                <c:pt idx="8">
                  <c:v>ΚΕΝΤΡΙΚΗΣ ΜΑΚΕΔΟΝΙΑΣ</c:v>
                </c:pt>
                <c:pt idx="9">
                  <c:v>ΚΡΗΤΗΣ</c:v>
                </c:pt>
                <c:pt idx="10">
                  <c:v>ΝΟΤΙΟΥ ΑΙΓΑΙΟΥ</c:v>
                </c:pt>
                <c:pt idx="11">
                  <c:v>ΟΡΙΖΟΝΤΙΟ</c:v>
                </c:pt>
                <c:pt idx="12">
                  <c:v>ΠΕΛΟΠΟΝΝΗΣΟΥ</c:v>
                </c:pt>
                <c:pt idx="13">
                  <c:v>ΣΤΕΡΕΑΣ ΕΛΛΑΔΑΣ</c:v>
                </c:pt>
              </c:strCache>
            </c:strRef>
          </c:cat>
          <c:val>
            <c:numRef>
              <c:f>'ch2'!$B$4:$B$18</c:f>
              <c:numCache>
                <c:formatCode>0</c:formatCode>
                <c:ptCount val="14"/>
                <c:pt idx="0">
                  <c:v>20</c:v>
                </c:pt>
                <c:pt idx="1">
                  <c:v>42</c:v>
                </c:pt>
                <c:pt idx="2">
                  <c:v>20</c:v>
                </c:pt>
                <c:pt idx="3">
                  <c:v>13</c:v>
                </c:pt>
                <c:pt idx="4">
                  <c:v>12</c:v>
                </c:pt>
                <c:pt idx="5">
                  <c:v>13</c:v>
                </c:pt>
                <c:pt idx="6">
                  <c:v>14</c:v>
                </c:pt>
                <c:pt idx="7">
                  <c:v>31</c:v>
                </c:pt>
                <c:pt idx="8">
                  <c:v>49</c:v>
                </c:pt>
                <c:pt idx="9">
                  <c:v>34</c:v>
                </c:pt>
                <c:pt idx="10">
                  <c:v>15</c:v>
                </c:pt>
                <c:pt idx="11">
                  <c:v>13</c:v>
                </c:pt>
                <c:pt idx="12">
                  <c:v>35</c:v>
                </c:pt>
                <c:pt idx="13">
                  <c:v>7</c:v>
                </c:pt>
              </c:numCache>
            </c:numRef>
          </c:val>
          <c:extLst>
            <c:ext xmlns:c16="http://schemas.microsoft.com/office/drawing/2014/chart" uri="{C3380CC4-5D6E-409C-BE32-E72D297353CC}">
              <c16:uniqueId val="{0000001C-95F8-43BA-9EC1-F4094004C717}"/>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1.3921018493378E-2"/>
          <c:y val="0.81186076631250803"/>
          <c:w val="0.96777902762154699"/>
          <c:h val="0.17067198477919501"/>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gradFill flip="none" rotWithShape="1">
      <a:gsLst>
        <a:gs pos="0">
          <a:schemeClr val="accent5">
            <a:lumMod val="5000"/>
            <a:lumOff val="95000"/>
          </a:schemeClr>
        </a:gs>
        <a:gs pos="57000">
          <a:schemeClr val="bg2">
            <a:lumMod val="95000"/>
          </a:schemeClr>
        </a:gs>
        <a:gs pos="83000">
          <a:schemeClr val="bg2">
            <a:lumMod val="85000"/>
          </a:schemeClr>
        </a:gs>
        <a:gs pos="100000">
          <a:schemeClr val="bg2">
            <a:lumMod val="75000"/>
          </a:schemeClr>
        </a:gs>
      </a:gsLst>
      <a:lin ang="5400000" scaled="1"/>
      <a:tileRect/>
    </a:gradFill>
    <a:ln w="9525" cap="flat" cmpd="sng" algn="ctr">
      <a:solidFill>
        <a:schemeClr val="tx1">
          <a:lumMod val="15000"/>
          <a:lumOff val="85000"/>
        </a:schemeClr>
      </a:solidFill>
      <a:round/>
    </a:ln>
    <a:effectLst/>
  </c:spPr>
  <c:txPr>
    <a:bodyPr/>
    <a:lstStyle/>
    <a:p>
      <a:pPr>
        <a:defRPr lang="en-US"/>
      </a:pPr>
      <a:endParaRPr lang="el-G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pivotSource>
    <c:name>[Αντίγραφο του ΕΝΤΑΓΜΕΝΑ ΕΡΓΑ ΕΣΠΑ 2014-2020 - ΑΠΡΙΛΙΟΣ 9-4-2021.xlsx]ch5!Συγκεντρωτικός Πίνακας1</c:name>
    <c:fmtId val="-1"/>
  </c:pivotSource>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l-GR"/>
              <a:t>Πιστοποιημένες</a:t>
            </a:r>
            <a:r>
              <a:rPr lang="el-GR" baseline="0"/>
              <a:t> πληρωμές ανά Περιφέρεια</a:t>
            </a:r>
            <a:endParaRPr lang="el-G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tx>
            <c:strRef>
              <c:f>'ch5'!$B$3</c:f>
              <c:strCache>
                <c:ptCount val="1"/>
                <c:pt idx="0">
                  <c:v>Άθροισμα</c:v>
                </c:pt>
              </c:strCache>
            </c:strRef>
          </c:tx>
          <c:spPr>
            <a:solidFill>
              <a:schemeClr val="accent1"/>
            </a:solidFill>
            <a:ln>
              <a:noFill/>
            </a:ln>
            <a:effectLst/>
            <a:scene3d>
              <a:camera prst="orthographicFront"/>
              <a:lightRig rig="threePt" dir="t"/>
            </a:scene3d>
            <a:sp3d>
              <a:bevelT/>
            </a:sp3d>
          </c:spPr>
          <c:invertIfNegative val="0"/>
          <c:cat>
            <c:strRef>
              <c:f>'ch5'!$A$4:$A$18</c:f>
              <c:strCache>
                <c:ptCount val="14"/>
                <c:pt idx="0">
                  <c:v>ΑΝΑΤΟΛΙΚΗΣ ΜΑΚΕΔΟΝΙΑΣ ΘΡΑΚΗΣ</c:v>
                </c:pt>
                <c:pt idx="1">
                  <c:v>ΑΤΤΙΚΗΣ</c:v>
                </c:pt>
                <c:pt idx="2">
                  <c:v>ΒΟΡΕΙΟΥ ΑΙΓΑΙΟΥ</c:v>
                </c:pt>
                <c:pt idx="3">
                  <c:v>ΔΥΤΙΚΗΣ ΕΛΛΑΔΑΣ</c:v>
                </c:pt>
                <c:pt idx="4">
                  <c:v>ΔΥΤΙΚΗΣ ΜΑΚΕΔΟΝΙΑΣ</c:v>
                </c:pt>
                <c:pt idx="5">
                  <c:v>ΗΠΕΙΡΟΥ</c:v>
                </c:pt>
                <c:pt idx="6">
                  <c:v>ΘΕΣΣΑΛΙΑΣ</c:v>
                </c:pt>
                <c:pt idx="7">
                  <c:v>ΙΟΝΙΩΝ ΝΗΣΩΝ</c:v>
                </c:pt>
                <c:pt idx="8">
                  <c:v>ΚΕΝΤΡΙΚΗΣ ΜΑΚΕΔΟΝΙΑΣ</c:v>
                </c:pt>
                <c:pt idx="9">
                  <c:v>ΚΡΗΤΗΣ</c:v>
                </c:pt>
                <c:pt idx="10">
                  <c:v>ΝΟΤΙΟΥ ΑΙΓΑΙΟΥ</c:v>
                </c:pt>
                <c:pt idx="11">
                  <c:v>ΟΡΙΖΟΝΤΙΟ</c:v>
                </c:pt>
                <c:pt idx="12">
                  <c:v>ΠΕΛΟΠΟΝΝΗΣΟΥ</c:v>
                </c:pt>
                <c:pt idx="13">
                  <c:v>ΣΤΕΡΕΑΣ ΕΛΛΑΔΑΣ</c:v>
                </c:pt>
              </c:strCache>
            </c:strRef>
          </c:cat>
          <c:val>
            <c:numRef>
              <c:f>'ch5'!$B$4:$B$18</c:f>
              <c:numCache>
                <c:formatCode>General</c:formatCode>
                <c:ptCount val="14"/>
                <c:pt idx="0">
                  <c:v>16</c:v>
                </c:pt>
                <c:pt idx="1">
                  <c:v>35</c:v>
                </c:pt>
                <c:pt idx="2">
                  <c:v>20</c:v>
                </c:pt>
                <c:pt idx="3">
                  <c:v>6</c:v>
                </c:pt>
                <c:pt idx="4">
                  <c:v>12</c:v>
                </c:pt>
                <c:pt idx="5">
                  <c:v>10</c:v>
                </c:pt>
                <c:pt idx="6">
                  <c:v>7</c:v>
                </c:pt>
                <c:pt idx="7">
                  <c:v>12</c:v>
                </c:pt>
                <c:pt idx="8">
                  <c:v>32</c:v>
                </c:pt>
                <c:pt idx="9">
                  <c:v>33</c:v>
                </c:pt>
                <c:pt idx="10">
                  <c:v>15</c:v>
                </c:pt>
                <c:pt idx="11">
                  <c:v>13</c:v>
                </c:pt>
                <c:pt idx="12">
                  <c:v>16</c:v>
                </c:pt>
                <c:pt idx="13">
                  <c:v>6</c:v>
                </c:pt>
              </c:numCache>
            </c:numRef>
          </c:val>
          <c:extLst>
            <c:ext xmlns:c16="http://schemas.microsoft.com/office/drawing/2014/chart" uri="{C3380CC4-5D6E-409C-BE32-E72D297353CC}">
              <c16:uniqueId val="{00000000-9D04-4EB3-AA4D-E283D1D2D0FB}"/>
            </c:ext>
          </c:extLst>
        </c:ser>
        <c:dLbls>
          <c:showLegendKey val="0"/>
          <c:showVal val="0"/>
          <c:showCatName val="0"/>
          <c:showSerName val="0"/>
          <c:showPercent val="0"/>
          <c:showBubbleSize val="0"/>
        </c:dLbls>
        <c:gapWidth val="150"/>
        <c:axId val="650612048"/>
        <c:axId val="650612608"/>
      </c:barChart>
      <c:catAx>
        <c:axId val="650612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endParaRPr lang="el-GR"/>
          </a:p>
        </c:txPr>
        <c:crossAx val="650612608"/>
        <c:crosses val="autoZero"/>
        <c:auto val="1"/>
        <c:lblAlgn val="ctr"/>
        <c:lblOffset val="100"/>
        <c:noMultiLvlLbl val="0"/>
      </c:catAx>
      <c:valAx>
        <c:axId val="65061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endParaRPr lang="el-GR"/>
          </a:p>
        </c:txPr>
        <c:crossAx val="650612048"/>
        <c:crosses val="autoZero"/>
        <c:crossBetween val="between"/>
        <c:dispUnits>
          <c:builtInUnit val="millions"/>
          <c:dispUnitsLbl>
            <c:spPr>
              <a:noFill/>
              <a:ln>
                <a:noFill/>
              </a:ln>
              <a:effectLst/>
            </c:spPr>
            <c:txPr>
              <a:bodyPr rot="-5400000" spcFirstLastPara="1" vertOverflow="ellipsis" vert="horz" wrap="square" anchor="ctr" anchorCtr="1">
                <a:spAutoFit/>
              </a:bodyPr>
              <a:lstStyle/>
              <a:p>
                <a:pPr>
                  <a:defRPr lang="en-US" sz="800" b="0" i="0" u="none" strike="noStrike" kern="1200" baseline="0">
                    <a:solidFill>
                      <a:schemeClr val="tx1">
                        <a:lumMod val="65000"/>
                        <a:lumOff val="35000"/>
                      </a:schemeClr>
                    </a:solidFill>
                    <a:latin typeface="+mn-lt"/>
                    <a:ea typeface="+mn-ea"/>
                    <a:cs typeface="+mn-cs"/>
                  </a:defRPr>
                </a:pPr>
                <a:endParaRPr lang="el-GR"/>
              </a:p>
            </c:txPr>
          </c:dispUnitsLbl>
        </c:dispUnits>
      </c:valAx>
      <c:spPr>
        <a:solidFill>
          <a:schemeClr val="accent1">
            <a:lumMod val="20000"/>
            <a:lumOff val="80000"/>
          </a:schemeClr>
        </a:solidFill>
        <a:ln>
          <a:noFill/>
        </a:ln>
        <a:effectLst>
          <a:outerShdw blurRad="76200" dir="13500000" sy="23000" kx="1200000" algn="br" rotWithShape="0">
            <a:prstClr val="black">
              <a:alpha val="20000"/>
            </a:prstClr>
          </a:outerShdw>
        </a:effectLst>
      </c:spPr>
    </c:plotArea>
    <c:plotVisOnly val="1"/>
    <c:dispBlanksAs val="gap"/>
    <c:showDLblsOverMax val="0"/>
  </c:chart>
  <c:spPr>
    <a:gradFill flip="none" rotWithShape="1">
      <a:gsLst>
        <a:gs pos="0">
          <a:schemeClr val="accent5">
            <a:lumMod val="5000"/>
            <a:lumOff val="95000"/>
          </a:schemeClr>
        </a:gs>
        <a:gs pos="57000">
          <a:schemeClr val="bg2">
            <a:lumMod val="95000"/>
          </a:schemeClr>
        </a:gs>
        <a:gs pos="83000">
          <a:schemeClr val="bg2">
            <a:lumMod val="85000"/>
          </a:schemeClr>
        </a:gs>
        <a:gs pos="100000">
          <a:schemeClr val="bg2">
            <a:lumMod val="75000"/>
          </a:schemeClr>
        </a:gs>
      </a:gsLst>
      <a:lin ang="5400000" scaled="1"/>
      <a:tileRect/>
    </a:gradFill>
    <a:ln w="9525" cap="flat" cmpd="sng" algn="ctr">
      <a:solidFill>
        <a:schemeClr val="tx1">
          <a:lumMod val="15000"/>
          <a:lumOff val="85000"/>
        </a:schemeClr>
      </a:solidFill>
      <a:round/>
    </a:ln>
    <a:effectLst/>
  </c:spPr>
  <c:txPr>
    <a:bodyPr/>
    <a:lstStyle/>
    <a:p>
      <a:pPr>
        <a:defRPr lang="en-US"/>
      </a:pPr>
      <a:endParaRPr lang="el-G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[Αντίγραφο του ΕΝΤΑΓΜΕΝΑ ΕΡΓΑ ΕΣΠΑ 2014-2020 - ΑΠΡΙΛΙΟΣ 9-4-2021.xlsx]ch6!Συγκεντρωτικός Πίνακας4</c:name>
    <c:fmtId val="-1"/>
  </c:pivotSource>
  <c:chart>
    <c:title>
      <c:tx>
        <c:rich>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r>
              <a:rPr lang="el-GR"/>
              <a:t>Άτομα</a:t>
            </a:r>
            <a:r>
              <a:rPr lang="el-GR" baseline="0"/>
              <a:t> με αναπηρία: </a:t>
            </a:r>
            <a:r>
              <a:rPr lang="el-GR"/>
              <a:t>Αριθμός έργων</a:t>
            </a:r>
            <a:r>
              <a:rPr lang="el-GR" baseline="0"/>
              <a:t> ανά Επιχειρησιακό πρόγραμμα</a:t>
            </a:r>
            <a:endParaRPr lang="el-GR"/>
          </a:p>
        </c:rich>
      </c:tx>
      <c:overlay val="0"/>
      <c:spPr>
        <a:noFill/>
        <a:ln>
          <a:noFill/>
        </a:ln>
        <a:effectLst/>
      </c:spPr>
      <c:txPr>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endParaRPr lang="el-GR"/>
        </a:p>
      </c:txPr>
    </c:title>
    <c:autoTitleDeleted val="0"/>
    <c:view3D>
      <c:rotX val="30"/>
      <c:hPercent val="70"/>
      <c:rotY val="0"/>
      <c:depthPercent val="190"/>
      <c:rAngAx val="1"/>
    </c:view3D>
    <c:floor>
      <c:thickness val="0"/>
      <c:spPr>
        <a:solidFill>
          <a:schemeClr val="accent1">
            <a:lumMod val="20000"/>
            <a:lumOff val="80000"/>
          </a:schemeClr>
        </a:solidFill>
        <a:ln>
          <a:noFill/>
        </a:ln>
        <a:effectLst>
          <a:outerShdw blurRad="50800" dist="38100" dir="2700000" algn="tl" rotWithShape="0">
            <a:prstClr val="black">
              <a:alpha val="40000"/>
            </a:prstClr>
          </a:outerShdw>
        </a:effectLst>
        <a:scene3d>
          <a:camera prst="orthographicFront"/>
          <a:lightRig rig="threePt" dir="t"/>
        </a:scene3d>
        <a:sp3d prstMaterial="matte">
          <a:bevelT/>
        </a:sp3d>
      </c:spPr>
    </c:floor>
    <c:sideWall>
      <c:thickness val="0"/>
      <c:spPr>
        <a:solidFill>
          <a:schemeClr val="accent1">
            <a:lumMod val="20000"/>
            <a:lumOff val="80000"/>
          </a:schemeClr>
        </a:solidFill>
        <a:ln>
          <a:noFill/>
        </a:ln>
        <a:effectLst>
          <a:outerShdw blurRad="76200" dir="13500000" sy="23000" kx="1200000" algn="br" rotWithShape="0">
            <a:prstClr val="black">
              <a:alpha val="20000"/>
            </a:prstClr>
          </a:outerShdw>
        </a:effectLst>
        <a:scene3d>
          <a:camera prst="orthographicFront"/>
          <a:lightRig rig="threePt" dir="t"/>
        </a:scene3d>
        <a:sp3d>
          <a:bevelB/>
        </a:sp3d>
      </c:spPr>
    </c:sideWall>
    <c:backWall>
      <c:thickness val="0"/>
      <c:spPr>
        <a:solidFill>
          <a:schemeClr val="accent1">
            <a:lumMod val="20000"/>
            <a:lumOff val="80000"/>
          </a:schemeClr>
        </a:solidFill>
        <a:ln>
          <a:noFill/>
        </a:ln>
        <a:effectLst>
          <a:outerShdw blurRad="76200" dir="13500000" sy="23000" kx="1200000" algn="br" rotWithShape="0">
            <a:prstClr val="black">
              <a:alpha val="20000"/>
            </a:prstClr>
          </a:outerShdw>
        </a:effectLst>
        <a:scene3d>
          <a:camera prst="orthographicFront"/>
          <a:lightRig rig="threePt" dir="t"/>
        </a:scene3d>
        <a:sp3d>
          <a:bevelB/>
        </a:sp3d>
      </c:spPr>
    </c:backWall>
    <c:plotArea>
      <c:layout>
        <c:manualLayout>
          <c:layoutTarget val="inner"/>
          <c:xMode val="edge"/>
          <c:yMode val="edge"/>
          <c:x val="1.8712244890404201E-2"/>
          <c:y val="6.8982969778088599E-2"/>
          <c:w val="0.98128768386710297"/>
          <c:h val="0.63246524315464903"/>
        </c:manualLayout>
      </c:layout>
      <c:pie3DChart>
        <c:varyColors val="1"/>
        <c:ser>
          <c:idx val="0"/>
          <c:order val="0"/>
          <c:tx>
            <c:strRef>
              <c:f>'ch6'!$B$3</c:f>
              <c:strCache>
                <c:ptCount val="1"/>
                <c:pt idx="0">
                  <c:v>Άθροισμα</c:v>
                </c:pt>
              </c:strCache>
            </c:strRef>
          </c:tx>
          <c:spPr>
            <a:scene3d>
              <a:camera prst="orthographicFront"/>
              <a:lightRig rig="threePt" dir="t"/>
            </a:scene3d>
            <a:sp3d>
              <a:bevelT/>
            </a:sp3d>
          </c:spPr>
          <c:dPt>
            <c:idx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1-A0DC-4B4F-9325-3B48671A53B3}"/>
              </c:ext>
            </c:extLst>
          </c:dPt>
          <c:dPt>
            <c:idx val="1"/>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03-A0DC-4B4F-9325-3B48671A53B3}"/>
              </c:ext>
            </c:extLst>
          </c:dPt>
          <c:dPt>
            <c:idx val="2"/>
            <c:bubble3D val="0"/>
            <c:spPr>
              <a:solidFill>
                <a:schemeClr val="accent3"/>
              </a:solidFill>
              <a:ln>
                <a:noFill/>
              </a:ln>
              <a:effectLst/>
              <a:scene3d>
                <a:camera prst="orthographicFront"/>
                <a:lightRig rig="threePt" dir="t"/>
              </a:scene3d>
              <a:sp3d>
                <a:bevelT/>
              </a:sp3d>
            </c:spPr>
            <c:extLst>
              <c:ext xmlns:c16="http://schemas.microsoft.com/office/drawing/2014/chart" uri="{C3380CC4-5D6E-409C-BE32-E72D297353CC}">
                <c16:uniqueId val="{00000005-A0DC-4B4F-9325-3B48671A53B3}"/>
              </c:ext>
            </c:extLst>
          </c:dPt>
          <c:dPt>
            <c:idx val="3"/>
            <c:bubble3D val="0"/>
            <c:spPr>
              <a:solidFill>
                <a:schemeClr val="accent4"/>
              </a:solidFill>
              <a:ln>
                <a:noFill/>
              </a:ln>
              <a:effectLst/>
              <a:scene3d>
                <a:camera prst="orthographicFront"/>
                <a:lightRig rig="threePt" dir="t"/>
              </a:scene3d>
              <a:sp3d>
                <a:bevelT/>
              </a:sp3d>
            </c:spPr>
            <c:extLst>
              <c:ext xmlns:c16="http://schemas.microsoft.com/office/drawing/2014/chart" uri="{C3380CC4-5D6E-409C-BE32-E72D297353CC}">
                <c16:uniqueId val="{00000007-A0DC-4B4F-9325-3B48671A53B3}"/>
              </c:ext>
            </c:extLst>
          </c:dPt>
          <c:dPt>
            <c:idx val="4"/>
            <c:bubble3D val="0"/>
            <c:spPr>
              <a:solidFill>
                <a:schemeClr val="accent5"/>
              </a:solidFill>
              <a:ln>
                <a:noFill/>
              </a:ln>
              <a:effectLst/>
              <a:scene3d>
                <a:camera prst="orthographicFront"/>
                <a:lightRig rig="threePt" dir="t"/>
              </a:scene3d>
              <a:sp3d>
                <a:bevelT/>
              </a:sp3d>
            </c:spPr>
            <c:extLst>
              <c:ext xmlns:c16="http://schemas.microsoft.com/office/drawing/2014/chart" uri="{C3380CC4-5D6E-409C-BE32-E72D297353CC}">
                <c16:uniqueId val="{00000009-A0DC-4B4F-9325-3B48671A53B3}"/>
              </c:ext>
            </c:extLst>
          </c:dPt>
          <c:dPt>
            <c:idx val="5"/>
            <c:bubble3D val="0"/>
            <c:spPr>
              <a:solidFill>
                <a:schemeClr val="accent6"/>
              </a:solidFill>
              <a:ln>
                <a:noFill/>
              </a:ln>
              <a:effectLst/>
              <a:scene3d>
                <a:camera prst="orthographicFront"/>
                <a:lightRig rig="threePt" dir="t"/>
              </a:scene3d>
              <a:sp3d>
                <a:bevelT/>
              </a:sp3d>
            </c:spPr>
            <c:extLst>
              <c:ext xmlns:c16="http://schemas.microsoft.com/office/drawing/2014/chart" uri="{C3380CC4-5D6E-409C-BE32-E72D297353CC}">
                <c16:uniqueId val="{0000000B-A0DC-4B4F-9325-3B48671A53B3}"/>
              </c:ext>
            </c:extLst>
          </c:dPt>
          <c:dPt>
            <c:idx val="6"/>
            <c:bubble3D val="0"/>
            <c:spPr>
              <a:solidFill>
                <a:schemeClr val="accent1">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0D-A0DC-4B4F-9325-3B48671A53B3}"/>
              </c:ext>
            </c:extLst>
          </c:dPt>
          <c:dPt>
            <c:idx val="7"/>
            <c:bubble3D val="0"/>
            <c:spPr>
              <a:solidFill>
                <a:schemeClr val="accent2">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0F-A0DC-4B4F-9325-3B48671A53B3}"/>
              </c:ext>
            </c:extLst>
          </c:dPt>
          <c:dPt>
            <c:idx val="8"/>
            <c:bubble3D val="0"/>
            <c:spPr>
              <a:solidFill>
                <a:schemeClr val="accent3">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11-A0DC-4B4F-9325-3B48671A53B3}"/>
              </c:ext>
            </c:extLst>
          </c:dPt>
          <c:dPt>
            <c:idx val="9"/>
            <c:bubble3D val="0"/>
            <c:spPr>
              <a:solidFill>
                <a:schemeClr val="accent4">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13-A0DC-4B4F-9325-3B48671A53B3}"/>
              </c:ext>
            </c:extLst>
          </c:dPt>
          <c:dPt>
            <c:idx val="10"/>
            <c:bubble3D val="0"/>
            <c:spPr>
              <a:solidFill>
                <a:schemeClr val="accent5">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15-A0DC-4B4F-9325-3B48671A53B3}"/>
              </c:ext>
            </c:extLst>
          </c:dPt>
          <c:dPt>
            <c:idx val="11"/>
            <c:bubble3D val="0"/>
            <c:spPr>
              <a:solidFill>
                <a:schemeClr val="accent6">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17-A0DC-4B4F-9325-3B48671A53B3}"/>
              </c:ext>
            </c:extLst>
          </c:dPt>
          <c:dPt>
            <c:idx val="12"/>
            <c:bubble3D val="0"/>
            <c:spPr>
              <a:solidFill>
                <a:schemeClr val="accent1">
                  <a:lumMod val="80000"/>
                  <a:lumOff val="20000"/>
                </a:schemeClr>
              </a:solidFill>
              <a:ln>
                <a:noFill/>
              </a:ln>
              <a:effectLst/>
              <a:scene3d>
                <a:camera prst="orthographicFront"/>
                <a:lightRig rig="threePt" dir="t"/>
              </a:scene3d>
              <a:sp3d>
                <a:bevelT/>
              </a:sp3d>
            </c:spPr>
            <c:extLst>
              <c:ext xmlns:c16="http://schemas.microsoft.com/office/drawing/2014/chart" uri="{C3380CC4-5D6E-409C-BE32-E72D297353CC}">
                <c16:uniqueId val="{00000019-A0DC-4B4F-9325-3B48671A53B3}"/>
              </c:ext>
            </c:extLst>
          </c:dPt>
          <c:dPt>
            <c:idx val="13"/>
            <c:bubble3D val="0"/>
            <c:spPr>
              <a:solidFill>
                <a:schemeClr val="accent2">
                  <a:lumMod val="80000"/>
                  <a:lumOff val="20000"/>
                </a:schemeClr>
              </a:solidFill>
              <a:ln>
                <a:noFill/>
              </a:ln>
              <a:effectLst/>
              <a:scene3d>
                <a:camera prst="orthographicFront"/>
                <a:lightRig rig="threePt" dir="t"/>
              </a:scene3d>
              <a:sp3d>
                <a:bevelT/>
              </a:sp3d>
            </c:spPr>
            <c:extLst>
              <c:ext xmlns:c16="http://schemas.microsoft.com/office/drawing/2014/chart" uri="{C3380CC4-5D6E-409C-BE32-E72D297353CC}">
                <c16:uniqueId val="{0000001B-A0DC-4B4F-9325-3B48671A53B3}"/>
              </c:ext>
            </c:extLst>
          </c:dPt>
          <c:dPt>
            <c:idx val="14"/>
            <c:bubble3D val="0"/>
            <c:spPr>
              <a:solidFill>
                <a:schemeClr val="accent3">
                  <a:lumMod val="80000"/>
                  <a:lumOff val="20000"/>
                </a:schemeClr>
              </a:solidFill>
              <a:ln>
                <a:noFill/>
              </a:ln>
              <a:effectLst/>
              <a:scene3d>
                <a:camera prst="orthographicFront"/>
                <a:lightRig rig="threePt" dir="t"/>
              </a:scene3d>
              <a:sp3d>
                <a:bevelT/>
              </a:sp3d>
            </c:spPr>
            <c:extLst>
              <c:ext xmlns:c16="http://schemas.microsoft.com/office/drawing/2014/chart" uri="{C3380CC4-5D6E-409C-BE32-E72D297353CC}">
                <c16:uniqueId val="{0000001D-A0DC-4B4F-9325-3B48671A53B3}"/>
              </c:ext>
            </c:extLst>
          </c:dPt>
          <c:dPt>
            <c:idx val="15"/>
            <c:bubble3D val="0"/>
            <c:spPr>
              <a:solidFill>
                <a:schemeClr val="accent4">
                  <a:lumMod val="80000"/>
                  <a:lumOff val="20000"/>
                </a:schemeClr>
              </a:solidFill>
              <a:ln>
                <a:noFill/>
              </a:ln>
              <a:effectLst/>
              <a:scene3d>
                <a:camera prst="orthographicFront"/>
                <a:lightRig rig="threePt" dir="t"/>
              </a:scene3d>
              <a:sp3d>
                <a:bevelT/>
              </a:sp3d>
            </c:spPr>
            <c:extLst>
              <c:ext xmlns:c16="http://schemas.microsoft.com/office/drawing/2014/chart" uri="{C3380CC4-5D6E-409C-BE32-E72D297353CC}">
                <c16:uniqueId val="{0000001F-A0DC-4B4F-9325-3B48671A53B3}"/>
              </c:ext>
            </c:extLst>
          </c:dPt>
          <c:dPt>
            <c:idx val="16"/>
            <c:bubble3D val="0"/>
            <c:spPr>
              <a:solidFill>
                <a:schemeClr val="accent5">
                  <a:lumMod val="80000"/>
                  <a:lumOff val="20000"/>
                </a:schemeClr>
              </a:solidFill>
              <a:ln>
                <a:noFill/>
              </a:ln>
              <a:effectLst/>
              <a:scene3d>
                <a:camera prst="orthographicFront"/>
                <a:lightRig rig="threePt" dir="t"/>
              </a:scene3d>
              <a:sp3d>
                <a:bevelT/>
              </a:sp3d>
            </c:spPr>
            <c:extLst>
              <c:ext xmlns:c16="http://schemas.microsoft.com/office/drawing/2014/chart" uri="{C3380CC4-5D6E-409C-BE32-E72D297353CC}">
                <c16:uniqueId val="{00000021-A0DC-4B4F-9325-3B48671A53B3}"/>
              </c:ext>
            </c:extLst>
          </c:dPt>
          <c:dPt>
            <c:idx val="17"/>
            <c:bubble3D val="0"/>
            <c:spPr>
              <a:solidFill>
                <a:schemeClr val="accent6">
                  <a:lumMod val="80000"/>
                  <a:lumOff val="20000"/>
                </a:schemeClr>
              </a:solidFill>
              <a:ln>
                <a:noFill/>
              </a:ln>
              <a:effectLst/>
              <a:scene3d>
                <a:camera prst="orthographicFront"/>
                <a:lightRig rig="threePt" dir="t"/>
              </a:scene3d>
              <a:sp3d>
                <a:bevelT/>
              </a:sp3d>
            </c:spPr>
            <c:extLst>
              <c:ext xmlns:c16="http://schemas.microsoft.com/office/drawing/2014/chart" uri="{C3380CC4-5D6E-409C-BE32-E72D297353CC}">
                <c16:uniqueId val="{00000023-A0DC-4B4F-9325-3B48671A53B3}"/>
              </c:ext>
            </c:extLst>
          </c:dPt>
          <c:dPt>
            <c:idx val="18"/>
            <c:bubble3D val="0"/>
            <c:spPr>
              <a:solidFill>
                <a:schemeClr val="accent1">
                  <a:lumMod val="80000"/>
                </a:schemeClr>
              </a:solidFill>
              <a:ln>
                <a:noFill/>
              </a:ln>
              <a:effectLst/>
              <a:scene3d>
                <a:camera prst="orthographicFront"/>
                <a:lightRig rig="threePt" dir="t"/>
              </a:scene3d>
              <a:sp3d>
                <a:bevelT/>
              </a:sp3d>
            </c:spPr>
            <c:extLst>
              <c:ext xmlns:c16="http://schemas.microsoft.com/office/drawing/2014/chart" uri="{C3380CC4-5D6E-409C-BE32-E72D297353CC}">
                <c16:uniqueId val="{00000025-A0DC-4B4F-9325-3B48671A53B3}"/>
              </c:ext>
            </c:extLst>
          </c:dPt>
          <c:dPt>
            <c:idx val="19"/>
            <c:bubble3D val="0"/>
            <c:spPr>
              <a:solidFill>
                <a:schemeClr val="accent2">
                  <a:lumMod val="80000"/>
                </a:schemeClr>
              </a:solidFill>
              <a:ln>
                <a:noFill/>
              </a:ln>
              <a:effectLst/>
              <a:scene3d>
                <a:camera prst="orthographicFront"/>
                <a:lightRig rig="threePt" dir="t"/>
              </a:scene3d>
              <a:sp3d>
                <a:bevelT/>
              </a:sp3d>
            </c:spPr>
            <c:extLst>
              <c:ext xmlns:c16="http://schemas.microsoft.com/office/drawing/2014/chart" uri="{C3380CC4-5D6E-409C-BE32-E72D297353CC}">
                <c16:uniqueId val="{00000027-A0DC-4B4F-9325-3B48671A53B3}"/>
              </c:ext>
            </c:extLst>
          </c:dPt>
          <c:dPt>
            <c:idx val="20"/>
            <c:bubble3D val="0"/>
            <c:spPr>
              <a:solidFill>
                <a:schemeClr val="accent3">
                  <a:lumMod val="80000"/>
                </a:schemeClr>
              </a:solidFill>
              <a:ln>
                <a:noFill/>
              </a:ln>
              <a:effectLst/>
              <a:scene3d>
                <a:camera prst="orthographicFront"/>
                <a:lightRig rig="threePt" dir="t"/>
              </a:scene3d>
              <a:sp3d>
                <a:bevelT/>
              </a:sp3d>
            </c:spPr>
            <c:extLst>
              <c:ext xmlns:c16="http://schemas.microsoft.com/office/drawing/2014/chart" uri="{C3380CC4-5D6E-409C-BE32-E72D297353CC}">
                <c16:uniqueId val="{00000029-A0DC-4B4F-9325-3B48671A53B3}"/>
              </c:ext>
            </c:extLst>
          </c:dPt>
          <c:dPt>
            <c:idx val="21"/>
            <c:bubble3D val="0"/>
            <c:spPr>
              <a:solidFill>
                <a:schemeClr val="accent4">
                  <a:lumMod val="80000"/>
                </a:schemeClr>
              </a:solidFill>
              <a:ln>
                <a:noFill/>
              </a:ln>
              <a:effectLst/>
              <a:scene3d>
                <a:camera prst="orthographicFront"/>
                <a:lightRig rig="threePt" dir="t"/>
              </a:scene3d>
              <a:sp3d>
                <a:bevelT/>
              </a:sp3d>
            </c:spPr>
            <c:extLst>
              <c:ext xmlns:c16="http://schemas.microsoft.com/office/drawing/2014/chart" uri="{C3380CC4-5D6E-409C-BE32-E72D297353CC}">
                <c16:uniqueId val="{0000002B-A0DC-4B4F-9325-3B48671A53B3}"/>
              </c:ext>
            </c:extLst>
          </c:dPt>
          <c:dPt>
            <c:idx val="22"/>
            <c:bubble3D val="0"/>
            <c:spPr>
              <a:solidFill>
                <a:schemeClr val="accent5">
                  <a:lumMod val="80000"/>
                </a:schemeClr>
              </a:solidFill>
              <a:ln>
                <a:noFill/>
              </a:ln>
              <a:effectLst/>
              <a:scene3d>
                <a:camera prst="orthographicFront"/>
                <a:lightRig rig="threePt" dir="t"/>
              </a:scene3d>
              <a:sp3d>
                <a:bevelT/>
              </a:sp3d>
            </c:spPr>
            <c:extLst>
              <c:ext xmlns:c16="http://schemas.microsoft.com/office/drawing/2014/chart" uri="{C3380CC4-5D6E-409C-BE32-E72D297353CC}">
                <c16:uniqueId val="{0000002D-A0DC-4B4F-9325-3B48671A53B3}"/>
              </c:ext>
            </c:extLst>
          </c:dPt>
          <c:dPt>
            <c:idx val="23"/>
            <c:bubble3D val="0"/>
            <c:spPr>
              <a:solidFill>
                <a:schemeClr val="accent6">
                  <a:lumMod val="80000"/>
                </a:schemeClr>
              </a:solidFill>
              <a:ln>
                <a:noFill/>
              </a:ln>
              <a:effectLst/>
              <a:scene3d>
                <a:camera prst="orthographicFront"/>
                <a:lightRig rig="threePt" dir="t"/>
              </a:scene3d>
              <a:sp3d>
                <a:bevelT/>
              </a:sp3d>
            </c:spPr>
            <c:extLst>
              <c:ext xmlns:c16="http://schemas.microsoft.com/office/drawing/2014/chart" uri="{C3380CC4-5D6E-409C-BE32-E72D297353CC}">
                <c16:uniqueId val="{0000002F-A0DC-4B4F-9325-3B48671A53B3}"/>
              </c:ext>
            </c:extLst>
          </c:dPt>
          <c:dPt>
            <c:idx val="24"/>
            <c:bubble3D val="0"/>
            <c:spPr>
              <a:solidFill>
                <a:schemeClr val="accent1">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31-A0DC-4B4F-9325-3B48671A53B3}"/>
              </c:ext>
            </c:extLst>
          </c:dPt>
          <c:dPt>
            <c:idx val="25"/>
            <c:bubble3D val="0"/>
            <c:spPr>
              <a:solidFill>
                <a:schemeClr val="accent2">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33-A0DC-4B4F-9325-3B48671A53B3}"/>
              </c:ext>
            </c:extLst>
          </c:dPt>
          <c:dPt>
            <c:idx val="26"/>
            <c:bubble3D val="0"/>
            <c:spPr>
              <a:solidFill>
                <a:schemeClr val="accent3">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35-A0DC-4B4F-9325-3B48671A53B3}"/>
              </c:ext>
            </c:extLst>
          </c:dPt>
          <c:dLbls>
            <c:spPr>
              <a:noFill/>
              <a:ln>
                <a:noFill/>
              </a:ln>
              <a:effectLst/>
            </c:spPr>
            <c:txPr>
              <a:bodyPr rot="0" spcFirstLastPara="1" vertOverflow="ellipsis" vert="horz" wrap="square" lIns="38100" tIns="19050" rIns="38100" bIns="19050" anchor="ctr" anchorCtr="1">
                <a:spAutoFit/>
              </a:bodyPr>
              <a:lstStyle/>
              <a:p>
                <a:pPr>
                  <a:defRPr lang="en-US" sz="1050" b="1" i="0" u="none" strike="noStrike" kern="1200" baseline="0">
                    <a:solidFill>
                      <a:schemeClr val="tx1"/>
                    </a:solidFill>
                    <a:latin typeface="+mn-lt"/>
                    <a:ea typeface="+mn-ea"/>
                    <a:cs typeface="+mn-cs"/>
                  </a:defRPr>
                </a:pPr>
                <a:endParaRPr lang="el-GR"/>
              </a:p>
            </c:txPr>
            <c:dLblPos val="bestFit"/>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'ch6'!$A$4:$A$31</c:f>
              <c:strCache>
                <c:ptCount val="27"/>
                <c:pt idx="0">
                  <c:v>INTERREG- MED</c:v>
                </c:pt>
                <c:pt idx="1">
                  <c:v>INTERREG V-A ΕΛΛΑΔΑ-ΚΥΠΡΟΣ</c:v>
                </c:pt>
                <c:pt idx="2">
                  <c:v>INTERREG V-B  BALKAN MEDITERRANEAN </c:v>
                </c:pt>
                <c:pt idx="3">
                  <c:v>INTERREG V-B Adriatic-Ionian ADRION</c:v>
                </c:pt>
                <c:pt idx="4">
                  <c:v>INTERREG ΕΛΛΑΔΑ - ΒΟΥΛΓΑΡΙΑ 2014 -2020</c:v>
                </c:pt>
                <c:pt idx="5">
                  <c:v>INTERREG ΕΛΛΑΔΑ - ΙΤΑΛΙΑ</c:v>
                </c:pt>
                <c:pt idx="6">
                  <c:v>INTERREG ΕΛΛΑΔΑ-FYROM </c:v>
                </c:pt>
                <c:pt idx="7">
                  <c:v>INTERREG ΕΛΛΑΔΑ-ΑΛΒΑΝΙΑ</c:v>
                </c:pt>
                <c:pt idx="8">
                  <c:v>INTERREG ΕΛΛΑΔΑ-ΒΟΥΛΓΑΡΙΑ</c:v>
                </c:pt>
                <c:pt idx="9">
                  <c:v>ΑΝΑΠΤΥΞΗ ΑΝΘΡΩΠΙΝΟΥ ΔΥΝΑΜΙΚΟΥ ΕΚΠΑΙΔΕΥΣΗ ΚΑΙ ΔΙΑ ΒΙΟΥ ΜΑΘΗΣΗ</c:v>
                </c:pt>
                <c:pt idx="10">
                  <c:v>ΑΝΑΤΟΛΙΚΗ ΜΑΚΕΔΟΝΙΑ ΘΡΑΚΗ</c:v>
                </c:pt>
                <c:pt idx="11">
                  <c:v>ΑΝΤΑΓΩΝΙΣΤΙΚΟΤΗΤΑ ΕΠΙΧΕΙΡΗΜΑΤΙΚΟΤΗΤΑ ΚΑΙ ΚΑΙΝΟΤΟΜΙΑ</c:v>
                </c:pt>
                <c:pt idx="12">
                  <c:v>ΑΤΤΙΚΗ</c:v>
                </c:pt>
                <c:pt idx="13">
                  <c:v>ΒΟΡΕΙΟ ΑΙΓΑΙΟ</c:v>
                </c:pt>
                <c:pt idx="14">
                  <c:v>ΔΥΤΙΚΗ ΕΛΛΑΔΑ</c:v>
                </c:pt>
                <c:pt idx="15">
                  <c:v>ΔΥΤΙΚΗ ΜΑΚΕΔΟΝΙΑ</c:v>
                </c:pt>
                <c:pt idx="16">
                  <c:v>ΗΠΕΙΡΟΣ</c:v>
                </c:pt>
                <c:pt idx="17">
                  <c:v>ΘΕΣΣΑΛΙΑ</c:v>
                </c:pt>
                <c:pt idx="18">
                  <c:v>ΘΕΣΣΑΛΙΑ 2014-2020</c:v>
                </c:pt>
                <c:pt idx="19">
                  <c:v>ΙΟΝΙΑ ΝΗΣΙΑ</c:v>
                </c:pt>
                <c:pt idx="20">
                  <c:v>ΚΕΝΤΡΙΚΗ ΜΑΚΕΔΟΝΙΑ</c:v>
                </c:pt>
                <c:pt idx="21">
                  <c:v>ΚΡΗΤΗ</c:v>
                </c:pt>
                <c:pt idx="22">
                  <c:v>ΜΕΤΑΡΡΥΘΜΙΣΗ ΔΗΜΟΣΙΟΥ ΤΟΜΕΑ</c:v>
                </c:pt>
                <c:pt idx="23">
                  <c:v>ΝΟΤΙΟ ΑΙΓΑΙΟ</c:v>
                </c:pt>
                <c:pt idx="24">
                  <c:v>ΠΕΛΟΠΟΝΝΗΣΟΣ</c:v>
                </c:pt>
                <c:pt idx="25">
                  <c:v>ΣΤΕΡΕΑ ΕΛΛΑΔΑ</c:v>
                </c:pt>
                <c:pt idx="26">
                  <c:v>ΥΠΟΔΟΜΕΣ ΜΕΤΑΦΟΡΩΝ, ΠΕΡΙΒΑΛΛΟΝ &amp; ΑΕΙΦΟΡΟΣ ΑΝΑΠΤΥΞΗ 2014-2020</c:v>
                </c:pt>
              </c:strCache>
            </c:strRef>
          </c:cat>
          <c:val>
            <c:numRef>
              <c:f>'ch6'!$B$4:$B$31</c:f>
              <c:numCache>
                <c:formatCode>General</c:formatCode>
                <c:ptCount val="27"/>
                <c:pt idx="0">
                  <c:v>1</c:v>
                </c:pt>
                <c:pt idx="1">
                  <c:v>4</c:v>
                </c:pt>
                <c:pt idx="2">
                  <c:v>1</c:v>
                </c:pt>
                <c:pt idx="3">
                  <c:v>1</c:v>
                </c:pt>
                <c:pt idx="4">
                  <c:v>1</c:v>
                </c:pt>
                <c:pt idx="5">
                  <c:v>5</c:v>
                </c:pt>
                <c:pt idx="6">
                  <c:v>1</c:v>
                </c:pt>
                <c:pt idx="7">
                  <c:v>3</c:v>
                </c:pt>
                <c:pt idx="8">
                  <c:v>1</c:v>
                </c:pt>
                <c:pt idx="9">
                  <c:v>6</c:v>
                </c:pt>
                <c:pt idx="10">
                  <c:v>17</c:v>
                </c:pt>
                <c:pt idx="11">
                  <c:v>51</c:v>
                </c:pt>
                <c:pt idx="12">
                  <c:v>28</c:v>
                </c:pt>
                <c:pt idx="13">
                  <c:v>18</c:v>
                </c:pt>
                <c:pt idx="14">
                  <c:v>5</c:v>
                </c:pt>
                <c:pt idx="15">
                  <c:v>10</c:v>
                </c:pt>
                <c:pt idx="16">
                  <c:v>6</c:v>
                </c:pt>
                <c:pt idx="17">
                  <c:v>4</c:v>
                </c:pt>
                <c:pt idx="18">
                  <c:v>5</c:v>
                </c:pt>
                <c:pt idx="19">
                  <c:v>27</c:v>
                </c:pt>
                <c:pt idx="20">
                  <c:v>38</c:v>
                </c:pt>
                <c:pt idx="21">
                  <c:v>27</c:v>
                </c:pt>
                <c:pt idx="22">
                  <c:v>1</c:v>
                </c:pt>
                <c:pt idx="23">
                  <c:v>8</c:v>
                </c:pt>
                <c:pt idx="24">
                  <c:v>22</c:v>
                </c:pt>
                <c:pt idx="25">
                  <c:v>5</c:v>
                </c:pt>
                <c:pt idx="26">
                  <c:v>2</c:v>
                </c:pt>
              </c:numCache>
            </c:numRef>
          </c:val>
          <c:extLst>
            <c:ext xmlns:c16="http://schemas.microsoft.com/office/drawing/2014/chart" uri="{C3380CC4-5D6E-409C-BE32-E72D297353CC}">
              <c16:uniqueId val="{00000036-A0DC-4B4F-9325-3B48671A53B3}"/>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1.3921018493378E-2"/>
          <c:y val="0.69751673077618703"/>
          <c:w val="0.96777902762154699"/>
          <c:h val="0.285016057525734"/>
        </c:manualLayout>
      </c:layout>
      <c:overlay val="0"/>
      <c:spPr>
        <a:noFill/>
        <a:ln>
          <a:noFill/>
        </a:ln>
        <a:effectLst/>
      </c:spPr>
      <c:txPr>
        <a:bodyPr rot="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gradFill flip="none" rotWithShape="1">
      <a:gsLst>
        <a:gs pos="0">
          <a:schemeClr val="accent5">
            <a:lumMod val="5000"/>
            <a:lumOff val="95000"/>
          </a:schemeClr>
        </a:gs>
        <a:gs pos="57000">
          <a:schemeClr val="bg2">
            <a:lumMod val="95000"/>
          </a:schemeClr>
        </a:gs>
        <a:gs pos="83000">
          <a:schemeClr val="bg2">
            <a:lumMod val="85000"/>
          </a:schemeClr>
        </a:gs>
        <a:gs pos="100000">
          <a:schemeClr val="bg2">
            <a:lumMod val="75000"/>
          </a:schemeClr>
        </a:gs>
      </a:gsLst>
      <a:lin ang="5400000" scaled="1"/>
      <a:tileRect/>
    </a:gradFill>
    <a:ln w="9525" cap="flat" cmpd="sng" algn="ctr">
      <a:solidFill>
        <a:schemeClr val="tx1">
          <a:lumMod val="15000"/>
          <a:lumOff val="85000"/>
        </a:schemeClr>
      </a:solidFill>
      <a:round/>
    </a:ln>
    <a:effectLst/>
  </c:spPr>
  <c:txPr>
    <a:bodyPr/>
    <a:lstStyle/>
    <a:p>
      <a:pPr>
        <a:defRPr lang="en-US"/>
      </a:pPr>
      <a:endParaRPr lang="el-GR"/>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[Αντίγραφο του ΕΝΤΑΓΜΕΝΑ ΕΡΓΑ ΕΣΠΑ 2014-2020 - ΑΠΡΙΛΙΟΣ 9-4-2021.xlsx]ch7!Συγκεντρωτικός Πίνακας4</c:name>
    <c:fmtId val="-1"/>
  </c:pivotSource>
  <c:chart>
    <c:title>
      <c:tx>
        <c:rich>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r>
              <a:rPr lang="el-GR"/>
              <a:t>Άτομα</a:t>
            </a:r>
            <a:r>
              <a:rPr lang="el-GR" baseline="0"/>
              <a:t> με αναπηρία: </a:t>
            </a:r>
            <a:r>
              <a:rPr lang="el-GR"/>
              <a:t>Αριθμός έργων</a:t>
            </a:r>
            <a:r>
              <a:rPr lang="el-GR" baseline="0"/>
              <a:t> ανά Περιφέρεια</a:t>
            </a:r>
            <a:endParaRPr lang="el-GR"/>
          </a:p>
        </c:rich>
      </c:tx>
      <c:overlay val="0"/>
      <c:spPr>
        <a:noFill/>
        <a:ln>
          <a:noFill/>
        </a:ln>
        <a:effectLst/>
      </c:spPr>
      <c:txPr>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endParaRPr lang="el-GR"/>
        </a:p>
      </c:txPr>
    </c:title>
    <c:autoTitleDeleted val="0"/>
    <c:view3D>
      <c:rotX val="30"/>
      <c:hPercent val="70"/>
      <c:rotY val="0"/>
      <c:depthPercent val="190"/>
      <c:rAngAx val="1"/>
    </c:view3D>
    <c:floor>
      <c:thickness val="0"/>
      <c:spPr>
        <a:solidFill>
          <a:schemeClr val="accent1">
            <a:lumMod val="20000"/>
            <a:lumOff val="80000"/>
          </a:schemeClr>
        </a:solidFill>
        <a:ln>
          <a:noFill/>
        </a:ln>
        <a:effectLst>
          <a:outerShdw blurRad="50800" dist="38100" dir="2700000" algn="tl" rotWithShape="0">
            <a:prstClr val="black">
              <a:alpha val="40000"/>
            </a:prstClr>
          </a:outerShdw>
        </a:effectLst>
        <a:scene3d>
          <a:camera prst="orthographicFront"/>
          <a:lightRig rig="threePt" dir="t"/>
        </a:scene3d>
        <a:sp3d prstMaterial="matte">
          <a:bevelT/>
        </a:sp3d>
      </c:spPr>
    </c:floor>
    <c:sideWall>
      <c:thickness val="0"/>
      <c:spPr>
        <a:solidFill>
          <a:schemeClr val="accent1">
            <a:lumMod val="20000"/>
            <a:lumOff val="80000"/>
          </a:schemeClr>
        </a:solidFill>
        <a:ln>
          <a:noFill/>
        </a:ln>
        <a:effectLst>
          <a:outerShdw blurRad="76200" dir="13500000" sy="23000" kx="1200000" algn="br" rotWithShape="0">
            <a:prstClr val="black">
              <a:alpha val="20000"/>
            </a:prstClr>
          </a:outerShdw>
        </a:effectLst>
        <a:scene3d>
          <a:camera prst="orthographicFront"/>
          <a:lightRig rig="threePt" dir="t"/>
        </a:scene3d>
        <a:sp3d>
          <a:bevelB/>
        </a:sp3d>
      </c:spPr>
    </c:sideWall>
    <c:backWall>
      <c:thickness val="0"/>
      <c:spPr>
        <a:solidFill>
          <a:schemeClr val="accent1">
            <a:lumMod val="20000"/>
            <a:lumOff val="80000"/>
          </a:schemeClr>
        </a:solidFill>
        <a:ln>
          <a:noFill/>
        </a:ln>
        <a:effectLst>
          <a:outerShdw blurRad="76200" dir="13500000" sy="23000" kx="1200000" algn="br" rotWithShape="0">
            <a:prstClr val="black">
              <a:alpha val="20000"/>
            </a:prstClr>
          </a:outerShdw>
        </a:effectLst>
        <a:scene3d>
          <a:camera prst="orthographicFront"/>
          <a:lightRig rig="threePt" dir="t"/>
        </a:scene3d>
        <a:sp3d>
          <a:bevelB/>
        </a:sp3d>
      </c:spPr>
    </c:backWall>
    <c:plotArea>
      <c:layout>
        <c:manualLayout>
          <c:layoutTarget val="inner"/>
          <c:xMode val="edge"/>
          <c:yMode val="edge"/>
          <c:x val="8.9335551012182293E-3"/>
          <c:y val="0.106338831998332"/>
          <c:w val="0.98906800158834396"/>
          <c:h val="0.63760397825919402"/>
        </c:manualLayout>
      </c:layout>
      <c:pie3DChart>
        <c:varyColors val="1"/>
        <c:ser>
          <c:idx val="0"/>
          <c:order val="0"/>
          <c:tx>
            <c:strRef>
              <c:f>'ch7'!$B$3</c:f>
              <c:strCache>
                <c:ptCount val="1"/>
                <c:pt idx="0">
                  <c:v>Άθροισμα</c:v>
                </c:pt>
              </c:strCache>
            </c:strRef>
          </c:tx>
          <c:spPr>
            <a:scene3d>
              <a:camera prst="orthographicFront"/>
              <a:lightRig rig="threePt" dir="t"/>
            </a:scene3d>
            <a:sp3d>
              <a:bevelT/>
            </a:sp3d>
          </c:spPr>
          <c:dPt>
            <c:idx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1-A38D-4B92-A4EE-CF37524A1EF9}"/>
              </c:ext>
            </c:extLst>
          </c:dPt>
          <c:dPt>
            <c:idx val="1"/>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03-A38D-4B92-A4EE-CF37524A1EF9}"/>
              </c:ext>
            </c:extLst>
          </c:dPt>
          <c:dPt>
            <c:idx val="2"/>
            <c:bubble3D val="0"/>
            <c:spPr>
              <a:solidFill>
                <a:schemeClr val="accent3"/>
              </a:solidFill>
              <a:ln>
                <a:noFill/>
              </a:ln>
              <a:effectLst/>
              <a:scene3d>
                <a:camera prst="orthographicFront"/>
                <a:lightRig rig="threePt" dir="t"/>
              </a:scene3d>
              <a:sp3d>
                <a:bevelT/>
              </a:sp3d>
            </c:spPr>
            <c:extLst>
              <c:ext xmlns:c16="http://schemas.microsoft.com/office/drawing/2014/chart" uri="{C3380CC4-5D6E-409C-BE32-E72D297353CC}">
                <c16:uniqueId val="{00000005-A38D-4B92-A4EE-CF37524A1EF9}"/>
              </c:ext>
            </c:extLst>
          </c:dPt>
          <c:dPt>
            <c:idx val="3"/>
            <c:bubble3D val="0"/>
            <c:spPr>
              <a:solidFill>
                <a:schemeClr val="accent4"/>
              </a:solidFill>
              <a:ln>
                <a:noFill/>
              </a:ln>
              <a:effectLst/>
              <a:scene3d>
                <a:camera prst="orthographicFront"/>
                <a:lightRig rig="threePt" dir="t"/>
              </a:scene3d>
              <a:sp3d>
                <a:bevelT/>
              </a:sp3d>
            </c:spPr>
            <c:extLst>
              <c:ext xmlns:c16="http://schemas.microsoft.com/office/drawing/2014/chart" uri="{C3380CC4-5D6E-409C-BE32-E72D297353CC}">
                <c16:uniqueId val="{00000007-A38D-4B92-A4EE-CF37524A1EF9}"/>
              </c:ext>
            </c:extLst>
          </c:dPt>
          <c:dPt>
            <c:idx val="4"/>
            <c:bubble3D val="0"/>
            <c:spPr>
              <a:solidFill>
                <a:schemeClr val="accent5"/>
              </a:solidFill>
              <a:ln>
                <a:noFill/>
              </a:ln>
              <a:effectLst/>
              <a:scene3d>
                <a:camera prst="orthographicFront"/>
                <a:lightRig rig="threePt" dir="t"/>
              </a:scene3d>
              <a:sp3d>
                <a:bevelT/>
              </a:sp3d>
            </c:spPr>
            <c:extLst>
              <c:ext xmlns:c16="http://schemas.microsoft.com/office/drawing/2014/chart" uri="{C3380CC4-5D6E-409C-BE32-E72D297353CC}">
                <c16:uniqueId val="{00000009-A38D-4B92-A4EE-CF37524A1EF9}"/>
              </c:ext>
            </c:extLst>
          </c:dPt>
          <c:dPt>
            <c:idx val="5"/>
            <c:bubble3D val="0"/>
            <c:spPr>
              <a:solidFill>
                <a:schemeClr val="accent6"/>
              </a:solidFill>
              <a:ln>
                <a:noFill/>
              </a:ln>
              <a:effectLst/>
              <a:scene3d>
                <a:camera prst="orthographicFront"/>
                <a:lightRig rig="threePt" dir="t"/>
              </a:scene3d>
              <a:sp3d>
                <a:bevelT/>
              </a:sp3d>
            </c:spPr>
            <c:extLst>
              <c:ext xmlns:c16="http://schemas.microsoft.com/office/drawing/2014/chart" uri="{C3380CC4-5D6E-409C-BE32-E72D297353CC}">
                <c16:uniqueId val="{0000000B-A38D-4B92-A4EE-CF37524A1EF9}"/>
              </c:ext>
            </c:extLst>
          </c:dPt>
          <c:dPt>
            <c:idx val="6"/>
            <c:bubble3D val="0"/>
            <c:spPr>
              <a:solidFill>
                <a:schemeClr val="accent1">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0D-A38D-4B92-A4EE-CF37524A1EF9}"/>
              </c:ext>
            </c:extLst>
          </c:dPt>
          <c:dPt>
            <c:idx val="7"/>
            <c:bubble3D val="0"/>
            <c:spPr>
              <a:solidFill>
                <a:schemeClr val="accent2">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0F-A38D-4B92-A4EE-CF37524A1EF9}"/>
              </c:ext>
            </c:extLst>
          </c:dPt>
          <c:dPt>
            <c:idx val="8"/>
            <c:bubble3D val="0"/>
            <c:spPr>
              <a:solidFill>
                <a:schemeClr val="accent3">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11-A38D-4B92-A4EE-CF37524A1EF9}"/>
              </c:ext>
            </c:extLst>
          </c:dPt>
          <c:dPt>
            <c:idx val="9"/>
            <c:bubble3D val="0"/>
            <c:spPr>
              <a:solidFill>
                <a:schemeClr val="accent4">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13-A38D-4B92-A4EE-CF37524A1EF9}"/>
              </c:ext>
            </c:extLst>
          </c:dPt>
          <c:dPt>
            <c:idx val="10"/>
            <c:bubble3D val="0"/>
            <c:spPr>
              <a:solidFill>
                <a:schemeClr val="accent5">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15-A38D-4B92-A4EE-CF37524A1EF9}"/>
              </c:ext>
            </c:extLst>
          </c:dPt>
          <c:dPt>
            <c:idx val="11"/>
            <c:bubble3D val="0"/>
            <c:spPr>
              <a:solidFill>
                <a:schemeClr val="accent6">
                  <a:lumMod val="60000"/>
                </a:schemeClr>
              </a:solidFill>
              <a:ln>
                <a:noFill/>
              </a:ln>
              <a:effectLst/>
              <a:scene3d>
                <a:camera prst="orthographicFront"/>
                <a:lightRig rig="threePt" dir="t"/>
              </a:scene3d>
              <a:sp3d>
                <a:bevelT/>
              </a:sp3d>
            </c:spPr>
            <c:extLst>
              <c:ext xmlns:c16="http://schemas.microsoft.com/office/drawing/2014/chart" uri="{C3380CC4-5D6E-409C-BE32-E72D297353CC}">
                <c16:uniqueId val="{00000017-A38D-4B92-A4EE-CF37524A1EF9}"/>
              </c:ext>
            </c:extLst>
          </c:dPt>
          <c:dPt>
            <c:idx val="12"/>
            <c:bubble3D val="0"/>
            <c:spPr>
              <a:solidFill>
                <a:schemeClr val="accent1">
                  <a:lumMod val="80000"/>
                  <a:lumOff val="20000"/>
                </a:schemeClr>
              </a:solidFill>
              <a:ln>
                <a:noFill/>
              </a:ln>
              <a:effectLst/>
              <a:scene3d>
                <a:camera prst="orthographicFront"/>
                <a:lightRig rig="threePt" dir="t"/>
              </a:scene3d>
              <a:sp3d>
                <a:bevelT/>
              </a:sp3d>
            </c:spPr>
            <c:extLst>
              <c:ext xmlns:c16="http://schemas.microsoft.com/office/drawing/2014/chart" uri="{C3380CC4-5D6E-409C-BE32-E72D297353CC}">
                <c16:uniqueId val="{00000019-A38D-4B92-A4EE-CF37524A1EF9}"/>
              </c:ext>
            </c:extLst>
          </c:dPt>
          <c:dPt>
            <c:idx val="13"/>
            <c:bubble3D val="0"/>
            <c:spPr>
              <a:solidFill>
                <a:schemeClr val="accent2">
                  <a:lumMod val="80000"/>
                  <a:lumOff val="20000"/>
                </a:schemeClr>
              </a:solidFill>
              <a:ln>
                <a:noFill/>
              </a:ln>
              <a:effectLst/>
              <a:scene3d>
                <a:camera prst="orthographicFront"/>
                <a:lightRig rig="threePt" dir="t"/>
              </a:scene3d>
              <a:sp3d>
                <a:bevelT/>
              </a:sp3d>
            </c:spPr>
            <c:extLst>
              <c:ext xmlns:c16="http://schemas.microsoft.com/office/drawing/2014/chart" uri="{C3380CC4-5D6E-409C-BE32-E72D297353CC}">
                <c16:uniqueId val="{0000001B-A38D-4B92-A4EE-CF37524A1EF9}"/>
              </c:ext>
            </c:extLst>
          </c:dPt>
          <c:dPt>
            <c:idx val="14"/>
            <c:bubble3D val="0"/>
            <c:spPr>
              <a:solidFill>
                <a:schemeClr val="accent3">
                  <a:lumMod val="80000"/>
                  <a:lumOff val="20000"/>
                </a:schemeClr>
              </a:solidFill>
              <a:ln>
                <a:noFill/>
              </a:ln>
              <a:effectLst/>
              <a:scene3d>
                <a:camera prst="orthographicFront"/>
                <a:lightRig rig="threePt" dir="t"/>
              </a:scene3d>
              <a:sp3d>
                <a:bevelT/>
              </a:sp3d>
            </c:spPr>
            <c:extLst>
              <c:ext xmlns:c16="http://schemas.microsoft.com/office/drawing/2014/chart" uri="{C3380CC4-5D6E-409C-BE32-E72D297353CC}">
                <c16:uniqueId val="{0000001D-A38D-4B92-A4EE-CF37524A1EF9}"/>
              </c:ext>
            </c:extLst>
          </c:dPt>
          <c:dLbls>
            <c:spPr>
              <a:noFill/>
              <a:ln>
                <a:noFill/>
              </a:ln>
              <a:effectLst/>
            </c:spPr>
            <c:txPr>
              <a:bodyPr rot="0" spcFirstLastPara="1" vertOverflow="ellipsis" vert="horz" wrap="square" lIns="38100" tIns="19050" rIns="38100" bIns="19050" anchor="ctr" anchorCtr="1">
                <a:spAutoFit/>
              </a:bodyPr>
              <a:lstStyle/>
              <a:p>
                <a:pPr>
                  <a:defRPr lang="en-US" sz="1050" b="1" i="0" u="none" strike="noStrike" kern="1200" baseline="0">
                    <a:solidFill>
                      <a:schemeClr val="tx1"/>
                    </a:solidFill>
                    <a:latin typeface="+mn-lt"/>
                    <a:ea typeface="+mn-ea"/>
                    <a:cs typeface="+mn-cs"/>
                  </a:defRPr>
                </a:pPr>
                <a:endParaRPr lang="el-GR"/>
              </a:p>
            </c:txPr>
            <c:dLblPos val="bestFit"/>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'ch7'!$A$4:$A$19</c:f>
              <c:strCache>
                <c:ptCount val="15"/>
                <c:pt idx="0">
                  <c:v>ΑΝΑΤΟΛΙΚΗΣ ΜΑΚΕΔΟΝΙΑΣ ΘΡΑΚΗΣ</c:v>
                </c:pt>
                <c:pt idx="1">
                  <c:v>ΑΤΤΙΚΗΣ</c:v>
                </c:pt>
                <c:pt idx="2">
                  <c:v>ΒΟΡΕΙΟΥ ΑΙΓΑΙΟΥ</c:v>
                </c:pt>
                <c:pt idx="3">
                  <c:v>ΔΥΤΙΚΗΣ ΕΛΛΑΔΑΣ</c:v>
                </c:pt>
                <c:pt idx="4">
                  <c:v>ΔΥΤΙΚΗΣ ΜΑΚΕΔΟΝΙΑΣ</c:v>
                </c:pt>
                <c:pt idx="5">
                  <c:v>ΗΠΕΙΡΟΥ</c:v>
                </c:pt>
                <c:pt idx="6">
                  <c:v>ΘΕΣΣΑΛΙΑΣ</c:v>
                </c:pt>
                <c:pt idx="7">
                  <c:v>ΙΟΝΙΩΝ ΝΗΣΩΝ</c:v>
                </c:pt>
                <c:pt idx="8">
                  <c:v>ΚΕΝΤΡΙΚΗΣ ΜΑΚΕΔΟΝΙΑΣ</c:v>
                </c:pt>
                <c:pt idx="9">
                  <c:v>ΚΡΗΤΗ</c:v>
                </c:pt>
                <c:pt idx="10">
                  <c:v>ΚΡΗΤΗΣ</c:v>
                </c:pt>
                <c:pt idx="11">
                  <c:v>ΝΟΤΙΟΥ ΑΙΓΑΙΟΥ</c:v>
                </c:pt>
                <c:pt idx="12">
                  <c:v>ΟΡΙΖΟΝΤΙΟ</c:v>
                </c:pt>
                <c:pt idx="13">
                  <c:v>ΠΕΛΟΠΟΝΝΗΣΟΥ</c:v>
                </c:pt>
                <c:pt idx="14">
                  <c:v>ΣΤΕΡΕΑΣ ΕΛΛΑΔΑΣ</c:v>
                </c:pt>
              </c:strCache>
            </c:strRef>
          </c:cat>
          <c:val>
            <c:numRef>
              <c:f>'ch7'!$B$4:$B$19</c:f>
              <c:numCache>
                <c:formatCode>General</c:formatCode>
                <c:ptCount val="15"/>
                <c:pt idx="0">
                  <c:v>19</c:v>
                </c:pt>
                <c:pt idx="1">
                  <c:v>40</c:v>
                </c:pt>
                <c:pt idx="2">
                  <c:v>20</c:v>
                </c:pt>
                <c:pt idx="3">
                  <c:v>11</c:v>
                </c:pt>
                <c:pt idx="4">
                  <c:v>12</c:v>
                </c:pt>
                <c:pt idx="5">
                  <c:v>13</c:v>
                </c:pt>
                <c:pt idx="6">
                  <c:v>11</c:v>
                </c:pt>
                <c:pt idx="7">
                  <c:v>31</c:v>
                </c:pt>
                <c:pt idx="8">
                  <c:v>49</c:v>
                </c:pt>
                <c:pt idx="9">
                  <c:v>1</c:v>
                </c:pt>
                <c:pt idx="10">
                  <c:v>28</c:v>
                </c:pt>
                <c:pt idx="11">
                  <c:v>15</c:v>
                </c:pt>
                <c:pt idx="12">
                  <c:v>13</c:v>
                </c:pt>
                <c:pt idx="13">
                  <c:v>28</c:v>
                </c:pt>
                <c:pt idx="14">
                  <c:v>7</c:v>
                </c:pt>
              </c:numCache>
            </c:numRef>
          </c:val>
          <c:extLst>
            <c:ext xmlns:c16="http://schemas.microsoft.com/office/drawing/2014/chart" uri="{C3380CC4-5D6E-409C-BE32-E72D297353CC}">
              <c16:uniqueId val="{0000001E-A38D-4B92-A4EE-CF37524A1EF9}"/>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1.3921018493378E-2"/>
          <c:y val="0.81798635813708598"/>
          <c:w val="0.96777902762154699"/>
          <c:h val="0.164546430164836"/>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gradFill flip="none" rotWithShape="1">
      <a:gsLst>
        <a:gs pos="0">
          <a:schemeClr val="accent5">
            <a:lumMod val="5000"/>
            <a:lumOff val="95000"/>
          </a:schemeClr>
        </a:gs>
        <a:gs pos="57000">
          <a:schemeClr val="bg2">
            <a:lumMod val="95000"/>
          </a:schemeClr>
        </a:gs>
        <a:gs pos="83000">
          <a:schemeClr val="bg2">
            <a:lumMod val="85000"/>
          </a:schemeClr>
        </a:gs>
        <a:gs pos="100000">
          <a:schemeClr val="bg2">
            <a:lumMod val="75000"/>
          </a:schemeClr>
        </a:gs>
      </a:gsLst>
      <a:lin ang="5400000" scaled="1"/>
      <a:tileRect/>
    </a:gradFill>
    <a:ln w="9525" cap="flat" cmpd="sng" algn="ctr">
      <a:solidFill>
        <a:schemeClr val="tx1">
          <a:lumMod val="15000"/>
          <a:lumOff val="85000"/>
        </a:schemeClr>
      </a:solidFill>
      <a:round/>
    </a:ln>
    <a:effectLst/>
  </c:spPr>
  <c:txPr>
    <a:bodyPr/>
    <a:lstStyle/>
    <a:p>
      <a:pPr>
        <a:defRPr lang="en-US"/>
      </a:pPr>
      <a:endParaRPr lang="el-GR"/>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12e28b1d-48da-41f7-b81f-9d3e8752725e">23</Topic>
    <orderby xmlns="12e28b1d-48da-41f7-b81f-9d3e8752725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
    <customSectPr/>
    <customSectPr/>
  </customSectProp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Έγγραφο" ma:contentTypeID="0x0101001311D72583B1A64DB18DD5ECCA4C8D49" ma:contentTypeVersion="4" ma:contentTypeDescription="Δημιουργία νέου εγγράφου" ma:contentTypeScope="" ma:versionID="e5ddec862f9738c60baae6070c4135e0">
  <xsd:schema xmlns:xsd="http://www.w3.org/2001/XMLSchema" xmlns:xs="http://www.w3.org/2001/XMLSchema" xmlns:p="http://schemas.microsoft.com/office/2006/metadata/properties" xmlns:ns2="12e28b1d-48da-41f7-b81f-9d3e8752725e" targetNamespace="http://schemas.microsoft.com/office/2006/metadata/properties" ma:root="true" ma:fieldsID="3c7ded626a1359fabbce9057531bffd4" ns2:_="">
    <xsd:import namespace="12e28b1d-48da-41f7-b81f-9d3e8752725e"/>
    <xsd:element name="properties">
      <xsd:complexType>
        <xsd:sequence>
          <xsd:element name="documentManagement">
            <xsd:complexType>
              <xsd:all>
                <xsd:element ref="ns2:Topic" minOccurs="0"/>
                <xsd:element ref="ns2:order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e28b1d-48da-41f7-b81f-9d3e8752725e" elementFormDefault="qualified">
    <xsd:import namespace="http://schemas.microsoft.com/office/2006/documentManagement/types"/>
    <xsd:import namespace="http://schemas.microsoft.com/office/infopath/2007/PartnerControls"/>
    <xsd:element name="Topic" ma:index="8" nillable="true" ma:displayName="Topic" ma:list="{2e8cf797-04d4-45dc-b14f-8fdf33ca3ab1}" ma:internalName="Topic" ma:readOnly="false" ma:showField="Title">
      <xsd:simpleType>
        <xsd:restriction base="dms:Lookup"/>
      </xsd:simpleType>
    </xsd:element>
    <xsd:element name="orderby" ma:index="9" nillable="true" ma:displayName="orderby" ma:decimals="0" ma:internalName="orderby">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4C70A7-B918-4E29-9757-48CD17430606}"/>
</file>

<file path=customXml/itemProps2.xml><?xml version="1.0" encoding="utf-8"?>
<ds:datastoreItem xmlns:ds="http://schemas.openxmlformats.org/officeDocument/2006/customXml" ds:itemID="{992AFC3D-6F70-4D81-91BF-E05B8E701DEA}"/>
</file>

<file path=customXml/itemProps3.xml><?xml version="1.0" encoding="utf-8"?>
<ds:datastoreItem xmlns:ds="http://schemas.openxmlformats.org/officeDocument/2006/customXml" ds:itemID="{B1977F7D-205B-4081-913C-38D41E755F92}"/>
</file>

<file path=customXml/itemProps4.xml><?xml version="1.0" encoding="utf-8"?>
<ds:datastoreItem xmlns:ds="http://schemas.openxmlformats.org/officeDocument/2006/customXml" ds:itemID="{EA977269-E550-4AE3-8F35-B465D1096EC5}"/>
</file>

<file path=customXml/itemProps5.xml><?xml version="1.0" encoding="utf-8"?>
<ds:datastoreItem xmlns:ds="http://schemas.openxmlformats.org/officeDocument/2006/customXml" ds:itemID="{DC6BC318-4C2D-426C-89B7-AC7C6CBB85EA}"/>
</file>

<file path=docProps/app.xml><?xml version="1.0" encoding="utf-8"?>
<Properties xmlns="http://schemas.openxmlformats.org/officeDocument/2006/extended-properties" xmlns:vt="http://schemas.openxmlformats.org/officeDocument/2006/docPropsVTypes">
  <Template>Normal.dotm</Template>
  <TotalTime>10</TotalTime>
  <Pages>107</Pages>
  <Words>24897</Words>
  <Characters>134446</Characters>
  <Application>Microsoft Office Word</Application>
  <DocSecurity>0</DocSecurity>
  <Lines>1120</Lines>
  <Paragraphs>318</Paragraphs>
  <ScaleCrop>false</ScaleCrop>
  <Company/>
  <LinksUpToDate>false</LinksUpToDate>
  <CharactersWithSpaces>159025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Τομεακό Πρόγραμμα Ανάπτυξης ΥΠΠΟΑ</dc:title>
  <dc:creator>Alex</dc:creator>
  <cp:lastModifiedBy>Δάμων Γιαννόπουλος</cp:lastModifiedBy>
  <cp:revision>3</cp:revision>
  <cp:lastPrinted>2020-11-12T14:51:00Z</cp:lastPrinted>
  <dcterms:created xsi:type="dcterms:W3CDTF">2021-07-15T11:45:00Z</dcterms:created>
  <dcterms:modified xsi:type="dcterms:W3CDTF">2021-07-21T06:21:00Z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1033-11.2.0.10200</vt:lpwstr>
  </property>
  <property fmtid="{D5CDD505-2E9C-101B-9397-08002B2CF9AE}" pid="3" name="ContentTypeId">
    <vt:lpwstr>0x0101001311D72583B1A64DB18DD5ECCA4C8D49</vt:lpwstr>
  </property>
</Properties>
</file>